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2"/>
        <w:spacing w:after="60"/>
        <w:rPr>
          <w:sz w:val="32"/>
          <w:szCs w:val="32"/>
          <w:highlight w:val="yellow"/>
          <w:lang w:val="en-US"/>
        </w:rPr>
      </w:pPr>
      <w:r>
        <w:rPr>
          <w:lang w:val="en-US"/>
        </w:rPr>
        <w:t>3GPP TSG-RAN WG2 #10</w:t>
      </w:r>
      <w:r>
        <w:rPr>
          <w:rFonts w:hint="eastAsia" w:eastAsia="宋体"/>
          <w:lang w:val="en-US"/>
        </w:rPr>
        <w:t>3</w:t>
      </w:r>
      <w:r>
        <w:rPr>
          <w:lang w:val="en-US"/>
        </w:rPr>
        <w:tab/>
      </w:r>
      <w:r>
        <w:rPr>
          <w:sz w:val="32"/>
          <w:szCs w:val="32"/>
          <w:lang w:val="en-US"/>
        </w:rPr>
        <w:t>R2-18</w:t>
      </w:r>
      <w:r>
        <w:rPr>
          <w:rFonts w:hint="eastAsia" w:eastAsia="宋体"/>
          <w:sz w:val="32"/>
          <w:szCs w:val="32"/>
          <w:lang w:val="en-US"/>
        </w:rPr>
        <w:t>11333</w:t>
      </w:r>
    </w:p>
    <w:p>
      <w:pPr>
        <w:pStyle w:val="62"/>
        <w:spacing w:after="60"/>
      </w:pPr>
      <w:r>
        <w:rPr>
          <w:rFonts w:hint="eastAsia" w:eastAsia="宋体"/>
          <w:lang w:val="en-US"/>
        </w:rPr>
        <w:t>Gothenburg</w:t>
      </w:r>
      <w:r>
        <w:t xml:space="preserve">, </w:t>
      </w:r>
      <w:r>
        <w:rPr>
          <w:rFonts w:hint="eastAsia" w:eastAsia="宋体"/>
          <w:lang w:val="en-US"/>
        </w:rPr>
        <w:t>Sweden</w:t>
      </w:r>
      <w:r>
        <w:t>, 2</w:t>
      </w:r>
      <w:r>
        <w:rPr>
          <w:rFonts w:hint="eastAsia" w:eastAsia="宋体"/>
          <w:lang w:val="en-US"/>
        </w:rPr>
        <w:t>0</w:t>
      </w:r>
      <w:r>
        <w:rPr>
          <w:rFonts w:hint="eastAsia" w:eastAsia="宋体"/>
          <w:vertAlign w:val="superscript"/>
          <w:lang w:val="en-US"/>
        </w:rPr>
        <w:t>th</w:t>
      </w:r>
      <w:r>
        <w:t xml:space="preserve"> – 2</w:t>
      </w:r>
      <w:r>
        <w:rPr>
          <w:rFonts w:hint="eastAsia" w:eastAsia="宋体"/>
          <w:lang w:val="en-US"/>
        </w:rPr>
        <w:t>4</w:t>
      </w:r>
      <w:r>
        <w:rPr>
          <w:vertAlign w:val="superscript"/>
        </w:rPr>
        <w:t>th</w:t>
      </w:r>
      <w:r>
        <w:t xml:space="preserve"> </w:t>
      </w:r>
      <w:r>
        <w:rPr>
          <w:rFonts w:hint="eastAsia" w:eastAsia="宋体"/>
          <w:lang w:val="en-US"/>
        </w:rPr>
        <w:t>August</w:t>
      </w:r>
      <w:r>
        <w:t xml:space="preserve"> 2018</w:t>
      </w:r>
    </w:p>
    <w:p>
      <w:pPr>
        <w:pStyle w:val="62"/>
      </w:pPr>
    </w:p>
    <w:p>
      <w:pPr>
        <w:pStyle w:val="62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>
        <w:rPr>
          <w:rFonts w:hint="eastAsia" w:eastAsia="宋体"/>
          <w:sz w:val="22"/>
          <w:szCs w:val="22"/>
          <w:lang w:val="en-US"/>
        </w:rPr>
        <w:t>Discussion on synchronization issues</w:t>
      </w:r>
    </w:p>
    <w:p>
      <w:pPr>
        <w:pStyle w:val="62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 w:eastAsia="宋体"/>
          <w:sz w:val="22"/>
          <w:szCs w:val="22"/>
          <w:lang w:val="en-US"/>
        </w:rPr>
        <w:t>ZTE</w:t>
      </w:r>
    </w:p>
    <w:p>
      <w:pPr>
        <w:pStyle w:val="62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>
        <w:rPr>
          <w:rFonts w:hint="eastAsia" w:eastAsia="宋体"/>
          <w:sz w:val="22"/>
          <w:szCs w:val="22"/>
          <w:lang w:val="en-US" w:eastAsia="zh-CN"/>
        </w:rPr>
        <w:t>9.10.2</w:t>
      </w:r>
    </w:p>
    <w:p>
      <w:pPr>
        <w:pStyle w:val="62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>
        <w:rPr>
          <w:sz w:val="22"/>
          <w:szCs w:val="22"/>
        </w:rPr>
        <w:t>Discussion, Decision</w:t>
      </w:r>
    </w:p>
    <w:p>
      <w:pPr>
        <w:pStyle w:val="2"/>
      </w:pPr>
      <w:r>
        <w:t>1</w:t>
      </w:r>
      <w:r>
        <w:tab/>
      </w:r>
      <w:r>
        <w:t>Introduction</w:t>
      </w:r>
    </w:p>
    <w:p>
      <w:pPr>
        <w:pStyle w:val="15"/>
        <w:spacing w:before="120" w:beforeLines="50" w:line="300" w:lineRule="auto"/>
        <w:rPr>
          <w:rFonts w:ascii="Times New Roman" w:hAnsi="Times New Roman" w:eastAsia="宋体"/>
          <w:lang w:val="en-US"/>
        </w:rPr>
      </w:pPr>
      <w:r>
        <w:rPr>
          <w:rFonts w:hint="eastAsia" w:ascii="Times New Roman" w:hAnsi="Times New Roman" w:eastAsia="宋体"/>
          <w:lang w:val="en-US"/>
        </w:rPr>
        <w:t>I</w:t>
      </w:r>
      <w:r>
        <w:rPr>
          <w:rFonts w:ascii="Times New Roman" w:hAnsi="Times New Roman" w:eastAsia="宋体"/>
          <w:lang w:val="en-US"/>
        </w:rPr>
        <w:t>n this contribution, we will</w:t>
      </w:r>
      <w:r>
        <w:rPr>
          <w:rFonts w:hint="eastAsia" w:ascii="Times New Roman" w:hAnsi="Times New Roman" w:eastAsia="宋体"/>
          <w:lang w:val="en-US"/>
        </w:rPr>
        <w:t xml:space="preserve"> discuss two synchronization related issues, one is issue on Set-</w:t>
      </w:r>
      <w:r>
        <w:rPr>
          <w:rFonts w:hint="eastAsia" w:ascii="Times New Roman" w:hAnsi="Times New Roman" w:eastAsia="宋体"/>
          <w:lang w:val="en-US" w:eastAsia="zh-CN"/>
        </w:rPr>
        <w:t>A</w:t>
      </w:r>
      <w:r>
        <w:rPr>
          <w:rFonts w:hint="eastAsia" w:ascii="Times New Roman" w:hAnsi="Times New Roman" w:eastAsia="宋体"/>
          <w:lang w:val="en-US"/>
        </w:rPr>
        <w:t xml:space="preserve"> is empty and the other one is issue on SLSS transmission disabling. Then our conside</w:t>
      </w:r>
      <w:bookmarkStart w:id="2" w:name="_GoBack"/>
      <w:bookmarkEnd w:id="2"/>
      <w:r>
        <w:rPr>
          <w:rFonts w:hint="eastAsia" w:ascii="Times New Roman" w:hAnsi="Times New Roman" w:eastAsia="宋体"/>
          <w:lang w:val="en-US"/>
        </w:rPr>
        <w:t>rations and corresponding CRs to solve these issues are given</w:t>
      </w:r>
      <w:r>
        <w:rPr>
          <w:rFonts w:ascii="Times New Roman" w:hAnsi="Times New Roman" w:eastAsia="宋体"/>
          <w:lang w:val="en-US"/>
        </w:rPr>
        <w:t>.</w:t>
      </w:r>
    </w:p>
    <w:p>
      <w:pPr>
        <w:pStyle w:val="2"/>
      </w:pPr>
      <w:bookmarkStart w:id="0" w:name="_Ref178064866"/>
      <w:r>
        <w:t>2</w:t>
      </w:r>
      <w:r>
        <w:tab/>
      </w:r>
      <w:r>
        <w:t>Discussion</w:t>
      </w:r>
      <w:bookmarkEnd w:id="0"/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2.1  Issue on Set-A is empty</w:t>
      </w:r>
    </w:p>
    <w:p>
      <w:pPr>
        <w:pStyle w:val="15"/>
        <w:rPr>
          <w:rFonts w:ascii="Times New Roman" w:hAnsi="Times New Roman" w:eastAsia="宋体"/>
          <w:lang w:val="en-US"/>
        </w:rPr>
      </w:pPr>
      <w:r>
        <w:rPr>
          <w:rFonts w:ascii="Times New Roman" w:hAnsi="Times New Roman" w:eastAsia="宋体"/>
          <w:lang w:val="en-US"/>
        </w:rPr>
        <w:t>For V2X synchronization discussion in RAN1 #91 meeting</w:t>
      </w:r>
      <w:r>
        <w:rPr>
          <w:rFonts w:hint="eastAsia" w:ascii="Times New Roman" w:hAnsi="Times New Roman" w:eastAsia="宋体"/>
          <w:lang w:val="en-US" w:eastAsia="zh-CN"/>
        </w:rPr>
        <w:t xml:space="preserve"> and RAN1 #90bis</w:t>
      </w:r>
      <w:r>
        <w:rPr>
          <w:rFonts w:ascii="Times New Roman" w:hAnsi="Times New Roman" w:eastAsia="宋体"/>
          <w:lang w:val="en-US"/>
        </w:rPr>
        <w:t xml:space="preserve">, it </w:t>
      </w:r>
      <w:r>
        <w:rPr>
          <w:rFonts w:hint="eastAsia" w:ascii="Times New Roman" w:hAnsi="Times New Roman" w:eastAsia="宋体"/>
          <w:lang w:val="en-US"/>
        </w:rPr>
        <w:t>wa</w:t>
      </w:r>
      <w:r>
        <w:rPr>
          <w:rFonts w:ascii="Times New Roman" w:hAnsi="Times New Roman" w:eastAsia="宋体"/>
          <w:lang w:val="en-US"/>
        </w:rPr>
        <w:t>s agreed that:</w:t>
      </w:r>
    </w:p>
    <w:tbl>
      <w:tblPr>
        <w:tblStyle w:val="60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pStyle w:val="15"/>
              <w:rPr>
                <w:sz w:val="22"/>
                <w:szCs w:val="22"/>
                <w:lang w:val="en-US"/>
              </w:rPr>
            </w:pPr>
            <w:r>
              <w:rPr>
                <w:rFonts w:hint="eastAsia"/>
                <w:sz w:val="22"/>
                <w:szCs w:val="22"/>
                <w:lang w:val="en-US"/>
              </w:rPr>
              <w:t>RAN1 #91</w:t>
            </w:r>
          </w:p>
          <w:p>
            <w:pPr>
              <w:pStyle w:val="15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If this set is empty, Rel-14 independent synchronization is used per carrier</w:t>
            </w:r>
          </w:p>
          <w:p>
            <w:pPr>
              <w:pStyle w:val="7"/>
              <w:numPr>
                <w:ilvl w:val="0"/>
                <w:numId w:val="13"/>
              </w:numPr>
              <w:ind w:left="840" w:firstLine="0"/>
              <w:outlineLvl w:val="5"/>
              <w:rPr>
                <w:szCs w:val="22"/>
              </w:rPr>
            </w:pPr>
            <w:r>
              <w:rPr>
                <w:rFonts w:hint="eastAsia"/>
                <w:szCs w:val="22"/>
              </w:rPr>
              <w:t>RAN1 assumes that carriers can only be aggregated in this behaviour if they use the same synchronization reference (e.g. GNSS, or same eNodeB)</w:t>
            </w:r>
          </w:p>
          <w:p>
            <w:pPr>
              <w:rPr>
                <w:rFonts w:hint="eastAsia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RAN1 #90bis</w:t>
            </w:r>
          </w:p>
          <w:p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highlight w:val="darkYellow"/>
                <w:lang w:eastAsia="zh-CN"/>
              </w:rPr>
              <w:t>Working assumption</w:t>
            </w:r>
            <w:r>
              <w:rPr>
                <w:sz w:val="22"/>
                <w:szCs w:val="22"/>
                <w:lang w:eastAsia="zh-CN"/>
              </w:rPr>
              <w:t>:</w:t>
            </w:r>
          </w:p>
          <w:p>
            <w:pPr>
              <w:numPr>
                <w:ilvl w:val="0"/>
                <w:numId w:val="14"/>
              </w:num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From the transmitting UE perspective, a single synchronization reference is used for all aggregated carriers</w:t>
            </w:r>
          </w:p>
          <w:p>
            <w:pPr>
              <w:numPr>
                <w:ilvl w:val="1"/>
                <w:numId w:val="14"/>
              </w:num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When a UE transmits multiple MAC PDUs on multiple carriers, timing on all transmission carriers is aligned</w:t>
            </w:r>
          </w:p>
          <w:p>
            <w:pPr>
              <w:rPr>
                <w:rFonts w:hint="eastAsia" w:eastAsia="宋体"/>
                <w:sz w:val="22"/>
                <w:szCs w:val="22"/>
                <w:lang w:val="en-US" w:eastAsia="zh-CN"/>
              </w:rPr>
            </w:pPr>
          </w:p>
        </w:tc>
      </w:tr>
    </w:tbl>
    <w:p>
      <w:pPr>
        <w:pStyle w:val="15"/>
        <w:spacing w:before="240" w:beforeLines="100" w:line="300" w:lineRule="auto"/>
        <w:rPr>
          <w:rFonts w:ascii="Times New Roman" w:hAnsi="Times New Roman" w:eastAsia="宋体"/>
          <w:sz w:val="21"/>
          <w:szCs w:val="22"/>
          <w:lang w:val="en-US"/>
        </w:rPr>
      </w:pPr>
      <w:r>
        <w:rPr>
          <w:rFonts w:ascii="Times New Roman" w:hAnsi="Times New Roman" w:eastAsia="宋体"/>
          <w:sz w:val="21"/>
          <w:szCs w:val="22"/>
          <w:lang w:val="en-US"/>
        </w:rPr>
        <w:t>According to RAN1’s discussion, the intention of this agreement is to cover a case of set-A is empty. Thereafter, if set-</w:t>
      </w:r>
      <w:r>
        <w:rPr>
          <w:rFonts w:hint="eastAsia" w:ascii="Times New Roman" w:hAnsi="Times New Roman" w:eastAsia="宋体"/>
          <w:sz w:val="21"/>
          <w:szCs w:val="22"/>
          <w:lang w:val="en-US" w:eastAsia="zh-CN"/>
        </w:rPr>
        <w:t>A</w:t>
      </w:r>
      <w:r>
        <w:rPr>
          <w:rFonts w:ascii="Times New Roman" w:hAnsi="Times New Roman" w:eastAsia="宋体"/>
          <w:sz w:val="21"/>
          <w:szCs w:val="22"/>
          <w:lang w:val="en-US"/>
        </w:rPr>
        <w:t xml:space="preserve"> is empty, according to RAN1’s discussion, UE has to follow Rel-14 behaviour of independent synchronization per aggregated carrier. However, this Rel-14 synchronization mechanism cannot work normally for Rel-15 aggregated carriers without capturing the above mentioned RAN1 agreements. Since there is a </w:t>
      </w:r>
      <w:r>
        <w:rPr>
          <w:rFonts w:hint="eastAsia" w:ascii="Times New Roman" w:hAnsi="Times New Roman" w:eastAsia="宋体"/>
          <w:sz w:val="21"/>
          <w:szCs w:val="22"/>
          <w:lang w:val="en-US" w:eastAsia="zh-CN"/>
        </w:rPr>
        <w:t xml:space="preserve">working assumption </w:t>
      </w:r>
      <w:r>
        <w:rPr>
          <w:rFonts w:ascii="Times New Roman" w:hAnsi="Times New Roman" w:eastAsia="宋体"/>
          <w:sz w:val="21"/>
          <w:szCs w:val="22"/>
          <w:lang w:val="en-US"/>
        </w:rPr>
        <w:t xml:space="preserve">that </w:t>
      </w:r>
      <w:r>
        <w:rPr>
          <w:rFonts w:hint="eastAsia" w:ascii="Times New Roman" w:hAnsi="Times New Roman" w:eastAsia="宋体"/>
          <w:sz w:val="21"/>
          <w:szCs w:val="22"/>
          <w:lang w:val="en-US" w:eastAsia="zh-CN"/>
        </w:rPr>
        <w:t>timing on all transmission carriers is aligned</w:t>
      </w:r>
      <w:r>
        <w:rPr>
          <w:rFonts w:ascii="Times New Roman" w:hAnsi="Times New Roman" w:eastAsia="宋体"/>
          <w:sz w:val="21"/>
          <w:szCs w:val="22"/>
          <w:lang w:val="en-US"/>
        </w:rPr>
        <w:t xml:space="preserve">. However, if each carrier within the aggregated carrier set following Rel-14 synchronization procedure, they might have different synchronization reference. </w:t>
      </w:r>
      <w:r>
        <w:rPr>
          <w:rFonts w:hint="eastAsia" w:ascii="Times New Roman" w:hAnsi="Times New Roman" w:eastAsia="宋体"/>
          <w:sz w:val="21"/>
          <w:szCs w:val="22"/>
          <w:lang w:val="en-US" w:eastAsia="zh-CN"/>
        </w:rPr>
        <w:t>In the following, it cannot be ensured that all CA carriers have the same timing, which is contradict to RAN1</w:t>
      </w:r>
      <w:r>
        <w:rPr>
          <w:rFonts w:hint="default" w:ascii="Times New Roman" w:hAnsi="Times New Roman" w:eastAsia="宋体"/>
          <w:sz w:val="21"/>
          <w:szCs w:val="22"/>
          <w:lang w:val="en-US" w:eastAsia="zh-CN"/>
        </w:rPr>
        <w:t>’</w:t>
      </w:r>
      <w:r>
        <w:rPr>
          <w:rFonts w:hint="eastAsia" w:ascii="Times New Roman" w:hAnsi="Times New Roman" w:eastAsia="宋体"/>
          <w:sz w:val="21"/>
          <w:szCs w:val="22"/>
          <w:lang w:val="en-US" w:eastAsia="zh-CN"/>
        </w:rPr>
        <w:t>s working assumption.</w:t>
      </w:r>
    </w:p>
    <w:p>
      <w:pPr>
        <w:pStyle w:val="15"/>
        <w:spacing w:before="120" w:beforeLines="50" w:line="300" w:lineRule="auto"/>
        <w:ind w:left="1807" w:hanging="1801" w:hangingChars="900"/>
        <w:rPr>
          <w:lang w:val="en-US"/>
        </w:rPr>
      </w:pPr>
      <w:r>
        <w:rPr>
          <w:rFonts w:ascii="Times New Roman" w:hAnsi="Times New Roman"/>
          <w:b/>
          <w:bCs/>
          <w:lang w:val="en-US"/>
        </w:rPr>
        <w:t>Observation 1</w:t>
      </w:r>
      <w:r>
        <w:rPr>
          <w:rFonts w:ascii="Times New Roman" w:hAnsi="Times New Roman"/>
          <w:b/>
          <w:bCs/>
          <w:lang w:val="en-US"/>
        </w:rPr>
        <w:tab/>
      </w:r>
      <w:r>
        <w:rPr>
          <w:rFonts w:ascii="Times New Roman" w:hAnsi="Times New Roman"/>
          <w:b/>
          <w:bCs/>
          <w:lang w:val="en-US"/>
        </w:rPr>
        <w:t>In the case of set-</w:t>
      </w:r>
      <w:r>
        <w:rPr>
          <w:rFonts w:hint="eastAsia" w:ascii="Times New Roman" w:hAnsi="Times New Roman" w:eastAsia="宋体"/>
          <w:b/>
          <w:bCs/>
          <w:lang w:val="en-US" w:eastAsia="zh-CN"/>
        </w:rPr>
        <w:t>A</w:t>
      </w:r>
      <w:r>
        <w:rPr>
          <w:rFonts w:ascii="Times New Roman" w:hAnsi="Times New Roman"/>
          <w:b/>
          <w:bCs/>
          <w:lang w:val="en-US"/>
        </w:rPr>
        <w:t xml:space="preserve"> is empty, UE cannot ensure all aggregated carriers are synchronized without following this agreement, which is contradictory to RAN1’s </w:t>
      </w:r>
      <w:r>
        <w:rPr>
          <w:rFonts w:hint="eastAsia" w:ascii="Times New Roman" w:hAnsi="Times New Roman" w:eastAsia="宋体"/>
          <w:b/>
          <w:bCs/>
          <w:lang w:val="en-US" w:eastAsia="zh-CN"/>
        </w:rPr>
        <w:t xml:space="preserve">working assumption </w:t>
      </w:r>
      <w:r>
        <w:rPr>
          <w:rFonts w:ascii="Times New Roman" w:hAnsi="Times New Roman"/>
          <w:b/>
          <w:bCs/>
          <w:lang w:val="en-US"/>
        </w:rPr>
        <w:t>that all aggregated carriers are synchronized.</w:t>
      </w:r>
    </w:p>
    <w:p>
      <w:pPr>
        <w:pStyle w:val="15"/>
        <w:spacing w:before="120" w:beforeLines="50" w:line="300" w:lineRule="auto"/>
        <w:ind w:left="1897" w:hanging="1891" w:hangingChars="900"/>
        <w:rPr>
          <w:b/>
          <w:bCs/>
          <w:lang w:val="en-US"/>
        </w:rPr>
      </w:pPr>
      <w:r>
        <w:rPr>
          <w:rFonts w:ascii="Times New Roman" w:hAnsi="Times New Roman"/>
          <w:b/>
          <w:bCs/>
          <w:sz w:val="21"/>
          <w:szCs w:val="22"/>
          <w:lang w:val="en-US"/>
        </w:rPr>
        <w:t>Proposal 1</w:t>
      </w:r>
      <w:r>
        <w:rPr>
          <w:rFonts w:ascii="Times New Roman" w:hAnsi="Times New Roman"/>
          <w:b/>
          <w:bCs/>
          <w:sz w:val="21"/>
          <w:szCs w:val="22"/>
          <w:lang w:val="en-US"/>
        </w:rPr>
        <w:tab/>
      </w:r>
      <w:r>
        <w:rPr>
          <w:rFonts w:ascii="Times New Roman" w:hAnsi="Times New Roman"/>
          <w:b/>
          <w:bCs/>
          <w:sz w:val="21"/>
          <w:szCs w:val="22"/>
          <w:lang w:val="en-US"/>
        </w:rPr>
        <w:t>This RAN1 agreement must be captured into current specification in order to achieve carrier aggregation.</w:t>
      </w:r>
    </w:p>
    <w:p>
      <w:pPr>
        <w:pStyle w:val="15"/>
        <w:spacing w:before="120" w:beforeLines="50" w:line="300" w:lineRule="auto"/>
        <w:rPr>
          <w:rFonts w:ascii="Times New Roman" w:hAnsi="Times New Roman" w:eastAsia="宋体"/>
          <w:sz w:val="21"/>
          <w:szCs w:val="22"/>
          <w:lang w:val="en-US"/>
        </w:rPr>
      </w:pPr>
      <w:r>
        <w:rPr>
          <w:rFonts w:ascii="Times New Roman" w:hAnsi="Times New Roman" w:eastAsia="宋体"/>
          <w:sz w:val="21"/>
          <w:szCs w:val="22"/>
          <w:lang w:val="en-US"/>
        </w:rPr>
        <w:t xml:space="preserve">In our opinion, the most appropriate way for capturing this agreement is to consider synchronization reference of each carrier during carrier selection/reselection procedure. I.e. this agreement should be jointly considered with carrier selection/reselection procedures defined in 3GPP TS 36.321. </w:t>
      </w:r>
    </w:p>
    <w:p>
      <w:pPr>
        <w:pStyle w:val="15"/>
        <w:spacing w:before="120" w:beforeLines="50" w:line="300" w:lineRule="auto"/>
        <w:rPr>
          <w:rFonts w:ascii="Times New Roman" w:hAnsi="Times New Roman" w:eastAsia="宋体"/>
          <w:sz w:val="21"/>
          <w:szCs w:val="22"/>
          <w:lang w:val="en-US"/>
        </w:rPr>
      </w:pPr>
      <w:r>
        <w:rPr>
          <w:rFonts w:ascii="Times New Roman" w:hAnsi="Times New Roman" w:eastAsia="宋体"/>
          <w:sz w:val="21"/>
          <w:szCs w:val="22"/>
          <w:lang w:val="en-US"/>
        </w:rPr>
        <w:t>Thus, it is suggested to simply add a note into current carrier selection/reselection section in MAC specification, for considering this RAN1 agreement.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 The corresponding CR is </w:t>
      </w:r>
      <w:r>
        <w:rPr>
          <w:rFonts w:ascii="Times New Roman" w:hAnsi="Times New Roman" w:eastAsia="宋体"/>
          <w:sz w:val="21"/>
          <w:szCs w:val="22"/>
          <w:lang w:val="en-US"/>
        </w:rPr>
        <w:t>[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>1</w:t>
      </w:r>
      <w:r>
        <w:rPr>
          <w:rFonts w:ascii="Times New Roman" w:hAnsi="Times New Roman" w:eastAsia="宋体"/>
          <w:sz w:val="21"/>
          <w:szCs w:val="22"/>
          <w:lang w:val="en-US"/>
        </w:rPr>
        <w:t>]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>.</w:t>
      </w:r>
    </w:p>
    <w:p>
      <w:pPr>
        <w:pStyle w:val="15"/>
        <w:spacing w:before="120" w:beforeLines="50" w:line="300" w:lineRule="auto"/>
        <w:ind w:left="1897" w:hanging="1891" w:hangingChars="900"/>
        <w:rPr>
          <w:rFonts w:ascii="Times New Roman" w:hAnsi="Times New Roman"/>
          <w:b/>
          <w:bCs/>
          <w:sz w:val="21"/>
          <w:szCs w:val="22"/>
          <w:lang w:val="en-US"/>
        </w:rPr>
      </w:pPr>
      <w:r>
        <w:rPr>
          <w:rFonts w:ascii="Times New Roman" w:hAnsi="Times New Roman"/>
          <w:b/>
          <w:bCs/>
          <w:sz w:val="21"/>
          <w:szCs w:val="22"/>
          <w:lang w:val="en-US"/>
        </w:rPr>
        <w:t>Proposal 2</w:t>
      </w:r>
      <w:r>
        <w:rPr>
          <w:rFonts w:ascii="Times New Roman" w:hAnsi="Times New Roman"/>
          <w:b/>
          <w:bCs/>
          <w:sz w:val="21"/>
          <w:szCs w:val="22"/>
          <w:lang w:val="en-US"/>
        </w:rPr>
        <w:tab/>
      </w:r>
      <w:r>
        <w:rPr>
          <w:rFonts w:ascii="Times New Roman" w:hAnsi="Times New Roman"/>
          <w:b/>
          <w:bCs/>
          <w:sz w:val="21"/>
          <w:szCs w:val="22"/>
          <w:lang w:val="en-US"/>
        </w:rPr>
        <w:t>In order to simply capture this agreement, it is suggest</w:t>
      </w:r>
      <w:r>
        <w:rPr>
          <w:rFonts w:hint="eastAsia" w:ascii="Times New Roman" w:hAnsi="Times New Roman"/>
          <w:b/>
          <w:bCs/>
          <w:sz w:val="21"/>
          <w:szCs w:val="22"/>
          <w:lang w:val="en-US"/>
        </w:rPr>
        <w:t>ed</w:t>
      </w:r>
      <w:r>
        <w:rPr>
          <w:rFonts w:ascii="Times New Roman" w:hAnsi="Times New Roman"/>
          <w:b/>
          <w:bCs/>
          <w:sz w:val="21"/>
          <w:szCs w:val="22"/>
          <w:lang w:val="en-US"/>
        </w:rPr>
        <w:t xml:space="preserve"> to add a note into carrier selection/reselection section in current MAC specification.</w:t>
      </w:r>
    </w:p>
    <w:p>
      <w:pPr>
        <w:pStyle w:val="15"/>
        <w:spacing w:before="120" w:beforeLines="50" w:line="300" w:lineRule="auto"/>
        <w:rPr>
          <w:rFonts w:ascii="Times New Roman" w:hAnsi="Times New Roman" w:eastAsia="宋体"/>
          <w:sz w:val="21"/>
          <w:szCs w:val="22"/>
          <w:lang w:val="en-US"/>
        </w:rPr>
      </w:pPr>
      <w:r>
        <w:rPr>
          <w:rFonts w:ascii="Times New Roman" w:hAnsi="Times New Roman" w:eastAsia="宋体"/>
          <w:sz w:val="21"/>
          <w:szCs w:val="22"/>
          <w:lang w:val="en-US"/>
        </w:rPr>
        <w:t>We also noticed that</w:t>
      </w:r>
      <w:r>
        <w:rPr>
          <w:rFonts w:hint="eastAsia" w:ascii="Times New Roman" w:hAnsi="Times New Roman" w:eastAsia="宋体"/>
          <w:sz w:val="21"/>
          <w:szCs w:val="22"/>
          <w:lang w:val="en-US" w:eastAsia="zh-CN"/>
        </w:rPr>
        <w:t xml:space="preserve"> previously</w:t>
      </w:r>
      <w:r>
        <w:rPr>
          <w:rFonts w:ascii="Times New Roman" w:hAnsi="Times New Roman" w:eastAsia="宋体"/>
          <w:sz w:val="21"/>
          <w:szCs w:val="22"/>
          <w:lang w:val="en-US"/>
        </w:rPr>
        <w:t xml:space="preserve"> no synchronization relevant description is captured in MAC specification.Thus, as a compromise, it is also acceptable to add a general description into current 3GPP TS 36.300, which could be more convincing.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 The corresponding CR is </w:t>
      </w:r>
      <w:r>
        <w:rPr>
          <w:rFonts w:ascii="Times New Roman" w:hAnsi="Times New Roman" w:eastAsia="宋体"/>
          <w:sz w:val="21"/>
          <w:szCs w:val="22"/>
          <w:lang w:val="en-US"/>
        </w:rPr>
        <w:t>[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>2</w:t>
      </w:r>
      <w:r>
        <w:rPr>
          <w:rFonts w:ascii="Times New Roman" w:hAnsi="Times New Roman" w:eastAsia="宋体"/>
          <w:sz w:val="21"/>
          <w:szCs w:val="22"/>
          <w:lang w:val="en-US"/>
        </w:rPr>
        <w:t>]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>.</w:t>
      </w:r>
    </w:p>
    <w:p>
      <w:pPr>
        <w:pStyle w:val="15"/>
        <w:spacing w:before="120" w:beforeLines="50" w:line="300" w:lineRule="auto"/>
        <w:ind w:left="1897" w:hanging="1891" w:hangingChars="900"/>
        <w:rPr>
          <w:rFonts w:ascii="Times New Roman" w:hAnsi="Times New Roman"/>
          <w:b/>
          <w:bCs/>
          <w:sz w:val="21"/>
          <w:szCs w:val="22"/>
          <w:lang w:val="en-US"/>
        </w:rPr>
      </w:pPr>
      <w:r>
        <w:rPr>
          <w:rFonts w:ascii="Times New Roman" w:hAnsi="Times New Roman"/>
          <w:b/>
          <w:bCs/>
          <w:sz w:val="21"/>
          <w:szCs w:val="22"/>
          <w:lang w:val="en-US"/>
        </w:rPr>
        <w:t>Proposal 3</w:t>
      </w:r>
      <w:r>
        <w:rPr>
          <w:rFonts w:ascii="Times New Roman" w:hAnsi="Times New Roman"/>
          <w:b/>
          <w:bCs/>
          <w:sz w:val="21"/>
          <w:szCs w:val="22"/>
          <w:lang w:val="en-US"/>
        </w:rPr>
        <w:tab/>
      </w:r>
      <w:r>
        <w:rPr>
          <w:rFonts w:ascii="Times New Roman" w:hAnsi="Times New Roman"/>
          <w:b/>
          <w:bCs/>
          <w:sz w:val="21"/>
          <w:szCs w:val="22"/>
          <w:lang w:val="en-US"/>
        </w:rPr>
        <w:t>As a compromise, it is also acceptable to add a general description into current 3GPP TS 36.300 to involve the above mentioned agreement.</w:t>
      </w: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2.2  Issue on SLSS transmission disabling</w:t>
      </w:r>
    </w:p>
    <w:p>
      <w:pPr>
        <w:pStyle w:val="15"/>
        <w:spacing w:before="120" w:beforeLines="50" w:line="300" w:lineRule="auto"/>
        <w:rPr>
          <w:rFonts w:ascii="Times New Roman" w:hAnsi="Times New Roman" w:eastAsia="宋体"/>
          <w:sz w:val="21"/>
          <w:szCs w:val="22"/>
          <w:lang w:val="en-US"/>
        </w:rPr>
      </w:pPr>
      <w:r>
        <w:rPr>
          <w:rFonts w:ascii="Times New Roman" w:hAnsi="Times New Roman" w:eastAsia="宋体"/>
          <w:sz w:val="21"/>
          <w:szCs w:val="22"/>
          <w:lang w:val="en-US"/>
        </w:rPr>
        <w:t xml:space="preserve">In RAN1#92bis, it was agreed that a UE may be configured a non-synchronization carrier with SLSS resources but 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do </w:t>
      </w:r>
      <w:r>
        <w:rPr>
          <w:rFonts w:ascii="Times New Roman" w:hAnsi="Times New Roman" w:eastAsia="宋体"/>
          <w:sz w:val="21"/>
          <w:szCs w:val="22"/>
          <w:lang w:val="en-US"/>
        </w:rPr>
        <w:t>not transmit SLSS on that carrier.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 The intention of this agreement is considering UE capability and reducing impacts to other UEs.</w:t>
      </w:r>
      <w:r>
        <w:rPr>
          <w:rFonts w:ascii="Times New Roman" w:hAnsi="Times New Roman" w:eastAsia="宋体"/>
          <w:sz w:val="21"/>
          <w:szCs w:val="22"/>
          <w:lang w:val="en-US"/>
        </w:rPr>
        <w:t xml:space="preserve"> 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To support this feature, a new IE </w:t>
      </w:r>
      <w:r>
        <w:rPr>
          <w:rFonts w:hint="eastAsia" w:ascii="Times New Roman" w:hAnsi="Times New Roman" w:eastAsia="宋体"/>
          <w:i/>
          <w:iCs/>
          <w:sz w:val="21"/>
          <w:szCs w:val="22"/>
          <w:lang w:val="en-US"/>
        </w:rPr>
        <w:t>slss-TxDisabled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 is introduced. </w:t>
      </w:r>
    </w:p>
    <w:tbl>
      <w:tblPr>
        <w:tblStyle w:val="60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855" w:type="dxa"/>
          </w:tcPr>
          <w:p>
            <w:pPr>
              <w:rPr>
                <w:rFonts w:ascii="Arial" w:hAnsi="Arial" w:eastAsia="宋体" w:cs="Arial"/>
                <w:sz w:val="22"/>
                <w:szCs w:val="22"/>
                <w:lang w:val="en-US"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val="en-US" w:eastAsia="zh-CN"/>
              </w:rPr>
              <w:t>RAN</w:t>
            </w:r>
            <w:r>
              <w:rPr>
                <w:rFonts w:hint="eastAsia" w:ascii="Arial" w:hAnsi="Arial" w:eastAsia="宋体" w:cs="Arial"/>
                <w:sz w:val="22"/>
                <w:szCs w:val="22"/>
                <w:lang w:val="en-US" w:eastAsia="zh-CN"/>
              </w:rPr>
              <w:t>1</w:t>
            </w:r>
            <w:r>
              <w:rPr>
                <w:rFonts w:ascii="Arial" w:hAnsi="Arial" w:eastAsia="宋体" w:cs="Arial"/>
                <w:sz w:val="22"/>
                <w:szCs w:val="22"/>
                <w:lang w:val="en-US" w:eastAsia="zh-CN"/>
              </w:rPr>
              <w:t>#92bis</w:t>
            </w:r>
            <w:r>
              <w:rPr>
                <w:rFonts w:hint="eastAsia" w:ascii="Arial" w:hAnsi="Arial" w:eastAsia="宋体" w:cs="Arial"/>
                <w:sz w:val="22"/>
                <w:szCs w:val="22"/>
                <w:lang w:val="en-US" w:eastAsia="zh-CN"/>
              </w:rPr>
              <w:t xml:space="preserve"> agreements:</w:t>
            </w:r>
          </w:p>
          <w:p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For UEs operating with CA</w:t>
            </w:r>
          </w:p>
          <w:p>
            <w:pPr>
              <w:numPr>
                <w:ilvl w:val="1"/>
                <w:numId w:val="15"/>
              </w:numPr>
              <w:spacing w:after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RAN1 assumes a UE may be configured a non-synchronization carrier by defining the location of the SLSS resources and by configuring the UE to not transmit SLSS on that carrier.</w:t>
            </w:r>
          </w:p>
          <w:p>
            <w:pPr>
              <w:numPr>
                <w:ilvl w:val="2"/>
                <w:numId w:val="15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Rel. 14 RRC signalling is not sufficient. </w:t>
            </w:r>
          </w:p>
          <w:p>
            <w:pPr>
              <w:numPr>
                <w:ilvl w:val="2"/>
                <w:numId w:val="15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Include an RRC parameter to introduce such mechanism. </w:t>
            </w:r>
          </w:p>
          <w:p>
            <w:pPr>
              <w:numPr>
                <w:ilvl w:val="3"/>
                <w:numId w:val="15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 Rel.15 UE using the carrier without CA does not apply this parameter. </w:t>
            </w:r>
          </w:p>
          <w:p>
            <w:pPr>
              <w:numPr>
                <w:ilvl w:val="3"/>
                <w:numId w:val="15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It is up to RAN2 to design the signalling to support this feature </w:t>
            </w:r>
            <w:r>
              <w:rPr>
                <w:rFonts w:hint="eastAsia" w:ascii="Arial" w:hAnsi="Arial" w:eastAsia="宋体" w:cs="Arial"/>
                <w:sz w:val="22"/>
                <w:szCs w:val="22"/>
                <w:lang w:val="en-US" w:eastAsia="zh-CN"/>
              </w:rPr>
              <w:t xml:space="preserve">  </w:t>
            </w:r>
          </w:p>
          <w:p>
            <w:pPr>
              <w:pStyle w:val="15"/>
              <w:snapToGrid w:val="0"/>
              <w:spacing w:after="0" w:line="180" w:lineRule="auto"/>
              <w:rPr>
                <w:sz w:val="22"/>
                <w:szCs w:val="22"/>
                <w:lang w:val="en-US"/>
              </w:rPr>
            </w:pPr>
            <w:r>
              <w:rPr>
                <w:rFonts w:hint="eastAsia"/>
                <w:sz w:val="22"/>
                <w:szCs w:val="22"/>
                <w:lang w:val="en-US"/>
              </w:rPr>
              <w:t xml:space="preserve"> </w:t>
            </w:r>
          </w:p>
        </w:tc>
      </w:tr>
    </w:tbl>
    <w:p>
      <w:pPr>
        <w:pStyle w:val="15"/>
        <w:spacing w:before="240" w:beforeLines="100" w:line="300" w:lineRule="auto"/>
        <w:rPr>
          <w:rFonts w:ascii="Times New Roman" w:hAnsi="Times New Roman" w:eastAsia="宋体"/>
          <w:sz w:val="21"/>
          <w:szCs w:val="22"/>
          <w:lang w:val="en-US"/>
        </w:rPr>
      </w:pP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With this feature, each carrier configured with synchronization resources can be configured with slss-TxDisabled to disable the transmission of synchronization information. Considering </w:t>
      </w:r>
      <w:r>
        <w:rPr>
          <w:rFonts w:ascii="Times New Roman" w:hAnsi="Times New Roman" w:eastAsia="宋体"/>
          <w:sz w:val="21"/>
          <w:szCs w:val="22"/>
          <w:lang w:val="en-US"/>
        </w:rPr>
        <w:t xml:space="preserve">the 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>UE capability and the potential carriers for CA, eNB configures a list of carriers that can be potentially used as synchronization carriers, i.e. Set-A (</w:t>
      </w:r>
      <w:r>
        <w:rPr>
          <w:rFonts w:hint="eastAsia" w:ascii="Times New Roman" w:hAnsi="Times New Roman" w:eastAsia="宋体"/>
          <w:i/>
          <w:iCs/>
          <w:sz w:val="21"/>
          <w:szCs w:val="22"/>
          <w:lang w:val="en-US"/>
        </w:rPr>
        <w:t>syncFreqList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). </w:t>
      </w:r>
      <w:r>
        <w:rPr>
          <w:rFonts w:ascii="Times New Roman" w:hAnsi="Times New Roman" w:eastAsia="宋体"/>
          <w:sz w:val="21"/>
          <w:szCs w:val="22"/>
          <w:lang w:val="en-US"/>
        </w:rPr>
        <w:t xml:space="preserve">On the other hand, UE autonomously selects the carriers used for CA and 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Set-B is an intersection of Set-A and carriers used for CA. </w:t>
      </w:r>
      <w:r>
        <w:rPr>
          <w:rFonts w:ascii="Times New Roman" w:hAnsi="Times New Roman" w:eastAsia="宋体"/>
          <w:sz w:val="21"/>
          <w:szCs w:val="22"/>
          <w:lang w:val="en-US"/>
        </w:rPr>
        <w:t>It may happen that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 only one synchronization carrier is in</w:t>
      </w:r>
      <w:r>
        <w:rPr>
          <w:rFonts w:ascii="Times New Roman" w:hAnsi="Times New Roman" w:eastAsia="宋体"/>
          <w:sz w:val="21"/>
          <w:szCs w:val="22"/>
          <w:lang w:val="en-US"/>
        </w:rPr>
        <w:t>cluded in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 Set-B and this carrier is configured </w:t>
      </w:r>
      <w:r>
        <w:rPr>
          <w:rFonts w:ascii="Times New Roman" w:hAnsi="Times New Roman" w:eastAsia="宋体"/>
          <w:sz w:val="21"/>
          <w:szCs w:val="22"/>
          <w:lang w:val="en-US"/>
        </w:rPr>
        <w:t xml:space="preserve">by eNB 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with slss-TxDisabled. </w:t>
      </w:r>
      <w:r>
        <w:rPr>
          <w:rFonts w:ascii="Times New Roman" w:hAnsi="Times New Roman" w:eastAsia="宋体"/>
          <w:sz w:val="21"/>
          <w:szCs w:val="22"/>
          <w:lang w:val="en-US"/>
        </w:rPr>
        <w:t>In this case, i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t is not clear </w:t>
      </w:r>
      <w:r>
        <w:rPr>
          <w:rFonts w:ascii="Times New Roman" w:hAnsi="Times New Roman" w:eastAsia="宋体"/>
          <w:sz w:val="21"/>
          <w:szCs w:val="22"/>
          <w:lang w:val="en-US"/>
        </w:rPr>
        <w:t>whether the UE should transmit the SLSS regardless of the slss-TxDisabled configuration or the UE should regard the Set B as empty and then follow the</w:t>
      </w:r>
      <w:r>
        <w:rPr>
          <w:rFonts w:ascii="Times New Roman" w:hAnsi="Times New Roman" w:eastAsia="宋体"/>
          <w:sz w:val="21"/>
          <w:szCs w:val="21"/>
          <w:lang w:val="en-US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Rel-14 behaviour of independent synchronization per carrier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. </w:t>
      </w:r>
      <w:r>
        <w:rPr>
          <w:rFonts w:hint="eastAsia" w:ascii="Times New Roman" w:hAnsi="Times New Roman" w:eastAsia="宋体"/>
          <w:sz w:val="21"/>
          <w:szCs w:val="22"/>
          <w:lang w:val="en-US" w:eastAsia="zh-CN"/>
        </w:rPr>
        <w:t xml:space="preserve">UE behaviour in such abnormal case is not captured in current specification. And this may cause 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>ambiguity</w:t>
      </w:r>
      <w:r>
        <w:rPr>
          <w:rFonts w:hint="eastAsia" w:ascii="Times New Roman" w:hAnsi="Times New Roman" w:eastAsia="宋体"/>
          <w:sz w:val="21"/>
          <w:szCs w:val="22"/>
          <w:lang w:val="en-US" w:eastAsia="zh-CN"/>
        </w:rPr>
        <w:t xml:space="preserve"> at UE in realization.</w:t>
      </w:r>
    </w:p>
    <w:p>
      <w:pPr>
        <w:pStyle w:val="15"/>
        <w:spacing w:before="120" w:beforeLines="50" w:line="300" w:lineRule="auto"/>
        <w:ind w:left="1897" w:hanging="1891" w:hangingChars="900"/>
        <w:rPr>
          <w:rFonts w:ascii="Times New Roman" w:hAnsi="Times New Roman" w:eastAsia="宋体"/>
          <w:sz w:val="21"/>
          <w:szCs w:val="22"/>
          <w:lang w:val="en-US"/>
        </w:rPr>
      </w:pPr>
      <w:r>
        <w:rPr>
          <w:rFonts w:ascii="Times New Roman" w:hAnsi="Times New Roman"/>
          <w:b/>
          <w:bCs/>
          <w:sz w:val="21"/>
          <w:szCs w:val="22"/>
          <w:lang w:val="en-US"/>
        </w:rPr>
        <w:t xml:space="preserve">Observation 2 </w:t>
      </w:r>
      <w:r>
        <w:rPr>
          <w:rFonts w:hint="eastAsia" w:ascii="Times New Roman" w:hAnsi="Times New Roman" w:eastAsia="宋体"/>
          <w:b/>
          <w:bCs/>
          <w:sz w:val="21"/>
          <w:szCs w:val="22"/>
          <w:lang w:val="en-US" w:eastAsia="zh-CN"/>
        </w:rPr>
        <w:t xml:space="preserve">  </w:t>
      </w:r>
      <w:r>
        <w:rPr>
          <w:rFonts w:ascii="Times New Roman" w:hAnsi="Times New Roman"/>
          <w:b/>
          <w:bCs/>
          <w:sz w:val="21"/>
          <w:szCs w:val="22"/>
          <w:lang w:val="en-US"/>
        </w:rPr>
        <w:t>With the feature of SLSS transmission di</w:t>
      </w:r>
      <w:r>
        <w:rPr>
          <w:rFonts w:hint="eastAsia" w:ascii="Times New Roman" w:hAnsi="Times New Roman" w:eastAsia="宋体"/>
          <w:b/>
          <w:bCs/>
          <w:sz w:val="21"/>
          <w:szCs w:val="22"/>
          <w:lang w:val="en-US" w:eastAsia="zh-CN"/>
        </w:rPr>
        <w:t>s</w:t>
      </w:r>
      <w:r>
        <w:rPr>
          <w:rFonts w:ascii="Times New Roman" w:hAnsi="Times New Roman"/>
          <w:b/>
          <w:bCs/>
          <w:sz w:val="21"/>
          <w:szCs w:val="22"/>
          <w:lang w:val="en-US"/>
        </w:rPr>
        <w:t xml:space="preserve">abling, </w:t>
      </w:r>
      <w:r>
        <w:rPr>
          <w:rFonts w:hint="eastAsia" w:ascii="Times New Roman" w:hAnsi="Times New Roman" w:eastAsia="宋体"/>
          <w:b/>
          <w:bCs/>
          <w:sz w:val="21"/>
          <w:szCs w:val="22"/>
          <w:lang w:val="en-US" w:eastAsia="zh-CN"/>
        </w:rPr>
        <w:t>i</w:t>
      </w:r>
      <w:r>
        <w:rPr>
          <w:rFonts w:ascii="Times New Roman" w:hAnsi="Times New Roman" w:eastAsia="宋体"/>
          <w:b/>
          <w:bCs/>
          <w:sz w:val="21"/>
          <w:szCs w:val="22"/>
          <w:lang w:val="en-US"/>
        </w:rPr>
        <w:t>t may happen that</w:t>
      </w:r>
      <w:r>
        <w:rPr>
          <w:rFonts w:hint="eastAsia" w:ascii="Times New Roman" w:hAnsi="Times New Roman" w:eastAsia="宋体"/>
          <w:b/>
          <w:bCs/>
          <w:sz w:val="21"/>
          <w:szCs w:val="22"/>
          <w:lang w:val="en-US"/>
        </w:rPr>
        <w:t xml:space="preserve"> only one synchronization carrier is in</w:t>
      </w:r>
      <w:r>
        <w:rPr>
          <w:rFonts w:ascii="Times New Roman" w:hAnsi="Times New Roman" w:eastAsia="宋体"/>
          <w:b/>
          <w:bCs/>
          <w:sz w:val="21"/>
          <w:szCs w:val="22"/>
          <w:lang w:val="en-US"/>
        </w:rPr>
        <w:t>cluded in</w:t>
      </w:r>
      <w:r>
        <w:rPr>
          <w:rFonts w:hint="eastAsia" w:ascii="Times New Roman" w:hAnsi="Times New Roman" w:eastAsia="宋体"/>
          <w:b/>
          <w:bCs/>
          <w:sz w:val="21"/>
          <w:szCs w:val="22"/>
          <w:lang w:val="en-US"/>
        </w:rPr>
        <w:t xml:space="preserve"> Set-B and this carrier is configured </w:t>
      </w:r>
      <w:r>
        <w:rPr>
          <w:rFonts w:ascii="Times New Roman" w:hAnsi="Times New Roman" w:eastAsia="宋体"/>
          <w:b/>
          <w:bCs/>
          <w:sz w:val="21"/>
          <w:szCs w:val="22"/>
          <w:lang w:val="en-US"/>
        </w:rPr>
        <w:t xml:space="preserve">by eNB </w:t>
      </w:r>
      <w:r>
        <w:rPr>
          <w:rFonts w:hint="eastAsia" w:ascii="Times New Roman" w:hAnsi="Times New Roman" w:eastAsia="宋体"/>
          <w:b/>
          <w:bCs/>
          <w:sz w:val="21"/>
          <w:szCs w:val="22"/>
          <w:lang w:val="en-US"/>
        </w:rPr>
        <w:t>with slss-TxDisabled.</w:t>
      </w:r>
    </w:p>
    <w:p>
      <w:pPr>
        <w:pStyle w:val="15"/>
        <w:spacing w:before="120" w:beforeLines="50" w:line="300" w:lineRule="auto"/>
        <w:rPr>
          <w:rFonts w:ascii="Times New Roman" w:hAnsi="Times New Roman" w:eastAsia="宋体"/>
          <w:sz w:val="21"/>
          <w:szCs w:val="22"/>
          <w:lang w:val="en-US"/>
        </w:rPr>
      </w:pPr>
      <w:r>
        <w:rPr>
          <w:rFonts w:hint="eastAsia" w:ascii="Times New Roman" w:hAnsi="Times New Roman" w:eastAsia="宋体"/>
          <w:sz w:val="21"/>
          <w:szCs w:val="22"/>
          <w:lang w:val="en-US"/>
        </w:rPr>
        <w:t>There are three options to avoid or solve this issue:</w:t>
      </w:r>
    </w:p>
    <w:p>
      <w:pPr>
        <w:pStyle w:val="15"/>
        <w:spacing w:before="120" w:beforeLines="50" w:line="300" w:lineRule="auto"/>
        <w:rPr>
          <w:rFonts w:ascii="Times New Roman" w:hAnsi="Times New Roman" w:eastAsia="宋体"/>
          <w:sz w:val="21"/>
          <w:szCs w:val="22"/>
          <w:lang w:val="en-US"/>
        </w:rPr>
      </w:pPr>
      <w:r>
        <w:rPr>
          <w:rFonts w:ascii="Times New Roman" w:hAnsi="Times New Roman" w:eastAsia="宋体"/>
          <w:sz w:val="21"/>
          <w:szCs w:val="22"/>
          <w:lang w:val="en-US"/>
        </w:rPr>
        <w:t>Option 1: remove slss-TxDisabled</w:t>
      </w:r>
    </w:p>
    <w:p>
      <w:pPr>
        <w:pStyle w:val="15"/>
        <w:spacing w:before="120" w:beforeLines="50" w:line="300" w:lineRule="auto"/>
        <w:rPr>
          <w:rFonts w:ascii="Times New Roman" w:hAnsi="Times New Roman" w:eastAsia="宋体"/>
          <w:sz w:val="21"/>
          <w:szCs w:val="22"/>
          <w:lang w:val="en-US"/>
        </w:rPr>
      </w:pPr>
      <w:r>
        <w:rPr>
          <w:rFonts w:hint="eastAsia" w:ascii="Times New Roman" w:hAnsi="Times New Roman" w:eastAsia="宋体"/>
          <w:sz w:val="21"/>
          <w:szCs w:val="22"/>
          <w:lang w:val="en-US"/>
        </w:rPr>
        <w:t>From RAN2</w:t>
      </w:r>
      <w:r>
        <w:rPr>
          <w:rFonts w:ascii="Times New Roman" w:hAnsi="Times New Roman" w:eastAsia="宋体"/>
          <w:sz w:val="21"/>
          <w:szCs w:val="22"/>
          <w:lang w:val="en-US"/>
        </w:rPr>
        <w:t>’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s perspective, the slss-TxDisabled may cause problems and can be removed. However, this </w:t>
      </w:r>
      <w:r>
        <w:rPr>
          <w:rFonts w:ascii="Times New Roman" w:hAnsi="Times New Roman" w:eastAsia="宋体"/>
          <w:sz w:val="21"/>
          <w:szCs w:val="22"/>
          <w:lang w:val="en-US"/>
        </w:rPr>
        <w:t xml:space="preserve">requires further clarification and discussion with 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RAN1. </w:t>
      </w:r>
    </w:p>
    <w:p>
      <w:pPr>
        <w:pStyle w:val="15"/>
        <w:spacing w:before="120" w:beforeLines="50" w:line="300" w:lineRule="auto"/>
        <w:rPr>
          <w:rFonts w:ascii="Times New Roman" w:hAnsi="Times New Roman" w:eastAsia="宋体"/>
          <w:sz w:val="21"/>
          <w:szCs w:val="22"/>
          <w:lang w:val="en-US"/>
        </w:rPr>
      </w:pPr>
      <w:r>
        <w:rPr>
          <w:rFonts w:ascii="Times New Roman" w:hAnsi="Times New Roman" w:eastAsia="宋体"/>
          <w:sz w:val="21"/>
          <w:szCs w:val="22"/>
          <w:lang w:val="en-US"/>
        </w:rPr>
        <w:t xml:space="preserve">Option 2: the 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>carrier</w:t>
      </w:r>
      <w:r>
        <w:rPr>
          <w:rFonts w:ascii="Times New Roman" w:hAnsi="Times New Roman" w:eastAsia="宋体"/>
          <w:sz w:val="21"/>
          <w:szCs w:val="22"/>
          <w:lang w:val="en-US"/>
        </w:rPr>
        <w:t xml:space="preserve"> configured with slss-TxDisabled is not included in Set-A</w:t>
      </w:r>
    </w:p>
    <w:p>
      <w:pPr>
        <w:pStyle w:val="15"/>
        <w:spacing w:before="120" w:beforeLines="50" w:line="300" w:lineRule="auto"/>
        <w:rPr>
          <w:rFonts w:ascii="Times New Roman" w:hAnsi="Times New Roman" w:eastAsia="宋体"/>
          <w:sz w:val="21"/>
          <w:szCs w:val="22"/>
          <w:lang w:val="en-US"/>
        </w:rPr>
      </w:pP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It can be </w:t>
      </w:r>
      <w:r>
        <w:rPr>
          <w:rFonts w:ascii="Times New Roman" w:hAnsi="Times New Roman" w:eastAsia="宋体"/>
          <w:sz w:val="21"/>
          <w:szCs w:val="22"/>
          <w:lang w:val="en-US"/>
        </w:rPr>
        <w:t xml:space="preserve">based on 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eNB implementation to not include the carrier configured with </w:t>
      </w:r>
      <w:r>
        <w:rPr>
          <w:rFonts w:ascii="Times New Roman" w:hAnsi="Times New Roman" w:eastAsia="宋体"/>
          <w:sz w:val="21"/>
          <w:szCs w:val="22"/>
          <w:lang w:val="en-US"/>
        </w:rPr>
        <w:t>slss-TxDisabled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 in Set-A. However, if so, the new feature will never work and </w:t>
      </w:r>
      <w:r>
        <w:rPr>
          <w:rFonts w:ascii="Times New Roman" w:hAnsi="Times New Roman" w:eastAsia="宋体"/>
          <w:sz w:val="21"/>
          <w:szCs w:val="22"/>
          <w:lang w:val="en-US"/>
        </w:rPr>
        <w:t>slss-TxDisabled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 is</w:t>
      </w:r>
      <w:r>
        <w:rPr>
          <w:rFonts w:ascii="Times New Roman" w:hAnsi="Times New Roman" w:eastAsia="宋体"/>
          <w:sz w:val="21"/>
          <w:szCs w:val="22"/>
          <w:lang w:val="en-US"/>
        </w:rPr>
        <w:t xml:space="preserve"> essentially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 useless.</w:t>
      </w:r>
    </w:p>
    <w:p>
      <w:pPr>
        <w:pStyle w:val="15"/>
        <w:spacing w:before="120" w:beforeLines="50" w:line="300" w:lineRule="auto"/>
        <w:rPr>
          <w:rFonts w:ascii="Times New Roman" w:hAnsi="Times New Roman" w:eastAsia="宋体"/>
          <w:sz w:val="21"/>
          <w:szCs w:val="22"/>
          <w:lang w:val="en-US"/>
        </w:rPr>
      </w:pPr>
      <w:r>
        <w:rPr>
          <w:rFonts w:ascii="Times New Roman" w:hAnsi="Times New Roman" w:eastAsia="宋体"/>
          <w:sz w:val="21"/>
          <w:szCs w:val="22"/>
          <w:lang w:val="en-US"/>
        </w:rPr>
        <w:t xml:space="preserve">Option 3: 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>specify</w:t>
      </w:r>
      <w:r>
        <w:rPr>
          <w:rFonts w:ascii="Times New Roman" w:hAnsi="Times New Roman" w:eastAsia="宋体"/>
          <w:sz w:val="21"/>
          <w:szCs w:val="22"/>
          <w:lang w:val="en-US"/>
        </w:rPr>
        <w:t xml:space="preserve"> 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>UE behavior in abnormal case</w:t>
      </w:r>
    </w:p>
    <w:p>
      <w:pPr>
        <w:pStyle w:val="15"/>
        <w:spacing w:before="120" w:beforeLines="50" w:line="300" w:lineRule="auto"/>
        <w:rPr>
          <w:rFonts w:ascii="Times New Roman" w:hAnsi="Times New Roman" w:eastAsia="宋体"/>
          <w:sz w:val="21"/>
          <w:szCs w:val="22"/>
          <w:lang w:val="en-US"/>
        </w:rPr>
      </w:pPr>
      <w:r>
        <w:rPr>
          <w:rFonts w:hint="eastAsia" w:ascii="Times New Roman" w:hAnsi="Times New Roman" w:eastAsia="宋体"/>
          <w:sz w:val="21"/>
          <w:szCs w:val="22"/>
          <w:lang w:val="en-US" w:eastAsia="zh-CN"/>
        </w:rPr>
        <w:t>S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>pecify that if the only one synchronization carrier in Set-B</w:t>
      </w:r>
      <w:r>
        <w:rPr>
          <w:rFonts w:hint="eastAsia" w:ascii="Times New Roman" w:hAnsi="Times New Roman" w:eastAsia="宋体"/>
          <w:sz w:val="21"/>
          <w:szCs w:val="22"/>
          <w:lang w:val="en-US" w:eastAsia="zh-CN"/>
        </w:rPr>
        <w:t xml:space="preserve"> is configured with </w:t>
      </w:r>
      <w:r>
        <w:rPr>
          <w:rFonts w:ascii="Times New Roman" w:hAnsi="Times New Roman" w:eastAsia="宋体"/>
          <w:sz w:val="21"/>
          <w:szCs w:val="22"/>
          <w:lang w:val="en-US"/>
        </w:rPr>
        <w:t>slss-TxDisabled</w:t>
      </w:r>
      <w:r>
        <w:rPr>
          <w:rFonts w:hint="eastAsia" w:ascii="Times New Roman" w:hAnsi="Times New Roman" w:eastAsia="宋体"/>
          <w:sz w:val="21"/>
          <w:szCs w:val="22"/>
          <w:lang w:val="en-US" w:eastAsia="zh-CN"/>
        </w:rPr>
        <w:t xml:space="preserve">, </w:t>
      </w:r>
      <w:r>
        <w:rPr>
          <w:rFonts w:ascii="Times New Roman" w:hAnsi="Times New Roman" w:eastAsia="宋体"/>
          <w:sz w:val="21"/>
          <w:szCs w:val="22"/>
          <w:lang w:val="en-US"/>
        </w:rPr>
        <w:t>UE should regard the Set</w:t>
      </w:r>
      <w:r>
        <w:rPr>
          <w:rFonts w:hint="eastAsia" w:ascii="Times New Roman" w:hAnsi="Times New Roman" w:eastAsia="宋体"/>
          <w:sz w:val="21"/>
          <w:szCs w:val="22"/>
          <w:lang w:val="en-US" w:eastAsia="zh-CN"/>
        </w:rPr>
        <w:t>-</w:t>
      </w:r>
      <w:r>
        <w:rPr>
          <w:rFonts w:ascii="Times New Roman" w:hAnsi="Times New Roman" w:eastAsia="宋体"/>
          <w:sz w:val="21"/>
          <w:szCs w:val="22"/>
          <w:lang w:val="en-US"/>
        </w:rPr>
        <w:t>B as empty and then follow the</w:t>
      </w:r>
      <w:r>
        <w:rPr>
          <w:rFonts w:ascii="Times New Roman" w:hAnsi="Times New Roman" w:eastAsia="宋体"/>
          <w:sz w:val="21"/>
          <w:szCs w:val="21"/>
          <w:lang w:val="en-US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Rel-14 behaviour of independent synchronization per carrier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>.</w:t>
      </w:r>
      <w:r>
        <w:rPr>
          <w:rFonts w:hint="eastAsia" w:ascii="Times New Roman" w:hAnsi="Times New Roman" w:eastAsia="宋体"/>
          <w:sz w:val="21"/>
          <w:szCs w:val="22"/>
          <w:lang w:val="en-US" w:eastAsia="zh-CN"/>
        </w:rPr>
        <w:t xml:space="preserve"> Alternatively, s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pecify that if there is only one synchronization carrier in Set-B, UE transmits SLSS on that carrier ignoring the configuration of </w:t>
      </w:r>
      <w:r>
        <w:rPr>
          <w:rFonts w:ascii="Times New Roman" w:hAnsi="Times New Roman" w:eastAsia="宋体"/>
          <w:sz w:val="21"/>
          <w:szCs w:val="22"/>
          <w:lang w:val="en-US"/>
        </w:rPr>
        <w:t>slss-TxDisabled.</w:t>
      </w:r>
      <w:r>
        <w:rPr>
          <w:rFonts w:hint="eastAsia" w:ascii="Times New Roman" w:hAnsi="Times New Roman" w:eastAsia="宋体"/>
          <w:sz w:val="21"/>
          <w:szCs w:val="22"/>
          <w:lang w:val="en-US" w:eastAsia="zh-CN"/>
        </w:rPr>
        <w:t xml:space="preserve"> We are OK for both the two alternatives as long as UE behaviour is specified in the abnormal case.</w:t>
      </w:r>
      <w:r>
        <w:rPr>
          <w:rFonts w:ascii="Times New Roman" w:hAnsi="Times New Roman" w:eastAsia="宋体"/>
          <w:sz w:val="21"/>
          <w:szCs w:val="22"/>
          <w:lang w:val="en-US"/>
        </w:rPr>
        <w:t xml:space="preserve"> </w:t>
      </w:r>
      <w:r>
        <w:rPr>
          <w:rFonts w:hint="eastAsia" w:ascii="Times New Roman" w:hAnsi="Times New Roman" w:eastAsia="宋体"/>
          <w:sz w:val="21"/>
          <w:szCs w:val="22"/>
          <w:lang w:val="en-US" w:eastAsia="zh-CN"/>
        </w:rPr>
        <w:t>Since the UE behaviour when Set-B is empty is definitely, the former one seems more aligned with the current 36.331 running CR</w:t>
      </w:r>
      <w:r>
        <w:rPr>
          <w:rFonts w:ascii="Times New Roman" w:hAnsi="Times New Roman" w:eastAsia="宋体"/>
          <w:sz w:val="21"/>
          <w:szCs w:val="22"/>
          <w:lang w:val="en-US"/>
        </w:rPr>
        <w:t xml:space="preserve">. </w:t>
      </w:r>
    </w:p>
    <w:p>
      <w:pPr>
        <w:pStyle w:val="15"/>
        <w:spacing w:before="120" w:beforeLines="50" w:line="300" w:lineRule="auto"/>
        <w:rPr>
          <w:rFonts w:ascii="Times New Roman" w:hAnsi="Times New Roman" w:eastAsia="宋体"/>
          <w:sz w:val="21"/>
          <w:szCs w:val="22"/>
          <w:lang w:val="en-US"/>
        </w:rPr>
      </w:pPr>
      <w:r>
        <w:rPr>
          <w:rFonts w:ascii="Times New Roman" w:hAnsi="Times New Roman" w:eastAsia="宋体"/>
          <w:sz w:val="21"/>
          <w:szCs w:val="22"/>
          <w:lang w:val="en-US"/>
        </w:rPr>
        <w:t>A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s we can see, the SLSS transmission disabling only takes effect in the scenario that UE is configured with slss-TxMultiFreq and Set-B </w:t>
      </w:r>
      <w:r>
        <w:rPr>
          <w:rFonts w:ascii="Times New Roman" w:hAnsi="Times New Roman" w:eastAsia="宋体"/>
          <w:sz w:val="21"/>
          <w:szCs w:val="22"/>
          <w:lang w:val="en-US"/>
        </w:rPr>
        <w:t>contains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 multiple carriers, in which only part of these carriers are configured with slss-TxDisabled, then UE can transmit SLSS on other carriers in Set-B that is not configured with slss-TxDisabled. </w:t>
      </w:r>
    </w:p>
    <w:p>
      <w:pPr>
        <w:pStyle w:val="15"/>
        <w:spacing w:before="120" w:beforeLines="50" w:line="300" w:lineRule="auto"/>
        <w:rPr>
          <w:lang w:val="en-US"/>
        </w:rPr>
      </w:pP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So far, ASN.1 for V2X has not been frozen, we prefer option 1 to remove slss-TxDisabled. However, it </w:t>
      </w:r>
      <w:r>
        <w:rPr>
          <w:rFonts w:ascii="Times New Roman" w:hAnsi="Times New Roman" w:eastAsia="宋体"/>
          <w:sz w:val="21"/>
          <w:szCs w:val="22"/>
          <w:lang w:val="en-US"/>
        </w:rPr>
        <w:t xml:space="preserve">requires the support from RAN1. From the perspective of RAN2, this issue may be solved by 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>specify</w:t>
      </w:r>
      <w:r>
        <w:rPr>
          <w:rFonts w:ascii="Times New Roman" w:hAnsi="Times New Roman" w:eastAsia="宋体"/>
          <w:sz w:val="21"/>
          <w:szCs w:val="22"/>
          <w:lang w:val="en-US"/>
        </w:rPr>
        <w:t>ing</w:t>
      </w:r>
      <w:r>
        <w:rPr>
          <w:rFonts w:hint="eastAsia" w:ascii="Times New Roman" w:hAnsi="Times New Roman" w:eastAsia="宋体"/>
          <w:sz w:val="21"/>
          <w:szCs w:val="22"/>
          <w:lang w:val="en-US"/>
        </w:rPr>
        <w:t xml:space="preserve"> UE behaviors in abnormal cases, and a corresponding CR is provided in [3].</w:t>
      </w:r>
    </w:p>
    <w:p>
      <w:pPr>
        <w:pStyle w:val="15"/>
        <w:spacing w:before="120" w:beforeLines="50" w:line="300" w:lineRule="auto"/>
        <w:ind w:left="1897" w:hanging="1891" w:hangingChars="900"/>
        <w:rPr>
          <w:lang w:val="en-US"/>
        </w:rPr>
      </w:pPr>
      <w:r>
        <w:rPr>
          <w:rFonts w:ascii="Times New Roman" w:hAnsi="Times New Roman"/>
          <w:b/>
          <w:bCs/>
          <w:sz w:val="21"/>
          <w:szCs w:val="22"/>
          <w:lang w:val="en-US"/>
        </w:rPr>
        <w:t xml:space="preserve">Proposal 4 </w:t>
      </w:r>
      <w:r>
        <w:rPr>
          <w:rFonts w:hint="eastAsia" w:ascii="Times New Roman" w:hAnsi="Times New Roman"/>
          <w:b/>
          <w:bCs/>
          <w:sz w:val="21"/>
          <w:szCs w:val="22"/>
          <w:lang w:val="en-US"/>
        </w:rPr>
        <w:t xml:space="preserve">     </w:t>
      </w:r>
      <w:r>
        <w:rPr>
          <w:rFonts w:ascii="Times New Roman" w:hAnsi="Times New Roman"/>
          <w:b/>
          <w:bCs/>
          <w:sz w:val="21"/>
          <w:szCs w:val="22"/>
          <w:lang w:val="en-US"/>
        </w:rPr>
        <w:t>It is suggested to specify UE behavior in abnormal case for SLSS transmission disabling</w:t>
      </w:r>
      <w:r>
        <w:rPr>
          <w:rFonts w:hint="eastAsia" w:ascii="Times New Roman" w:hAnsi="Times New Roman"/>
          <w:b/>
          <w:bCs/>
          <w:sz w:val="21"/>
          <w:szCs w:val="22"/>
          <w:lang w:val="en-US"/>
        </w:rPr>
        <w:t xml:space="preserve"> </w:t>
      </w:r>
      <w:r>
        <w:rPr>
          <w:rFonts w:ascii="Times New Roman" w:hAnsi="Times New Roman"/>
          <w:b/>
          <w:bCs/>
          <w:sz w:val="21"/>
          <w:szCs w:val="22"/>
          <w:lang w:val="en-US"/>
        </w:rPr>
        <w:t xml:space="preserve">feature. </w:t>
      </w:r>
    </w:p>
    <w:p>
      <w:pPr>
        <w:pStyle w:val="2"/>
      </w:pPr>
      <w:r>
        <w:rPr>
          <w:rFonts w:hint="eastAsia" w:eastAsia="宋体"/>
          <w:szCs w:val="22"/>
          <w:lang w:val="en-US" w:eastAsia="zh-CN"/>
        </w:rPr>
        <w:t>3</w:t>
      </w:r>
      <w:r>
        <w:rPr>
          <w:rFonts w:hint="eastAsia" w:eastAsia="宋体"/>
          <w:szCs w:val="22"/>
          <w:lang w:val="en-US" w:eastAsia="zh-CN"/>
        </w:rPr>
        <w:tab/>
      </w:r>
      <w:r>
        <w:rPr>
          <w:szCs w:val="22"/>
        </w:rPr>
        <w:t>Conclusion</w:t>
      </w:r>
    </w:p>
    <w:p>
      <w:pPr>
        <w:pStyle w:val="15"/>
        <w:spacing w:before="120" w:beforeLines="50" w:line="300" w:lineRule="auto"/>
        <w:ind w:left="1897" w:hanging="1891" w:hangingChars="900"/>
        <w:rPr>
          <w:rFonts w:ascii="Times New Roman" w:hAnsi="Times New Roman"/>
          <w:b/>
          <w:bCs/>
          <w:sz w:val="21"/>
          <w:szCs w:val="22"/>
          <w:lang w:val="en-US"/>
        </w:rPr>
      </w:pPr>
      <w:r>
        <w:rPr>
          <w:rFonts w:ascii="Times New Roman" w:hAnsi="Times New Roman"/>
          <w:b/>
          <w:bCs/>
          <w:sz w:val="21"/>
          <w:szCs w:val="22"/>
          <w:lang w:val="en-US"/>
        </w:rPr>
        <w:t>Observation 1</w:t>
      </w:r>
      <w:r>
        <w:rPr>
          <w:rFonts w:ascii="Times New Roman" w:hAnsi="Times New Roman"/>
          <w:b/>
          <w:bCs/>
          <w:sz w:val="21"/>
          <w:szCs w:val="22"/>
          <w:lang w:val="en-US"/>
        </w:rPr>
        <w:tab/>
      </w:r>
      <w:r>
        <w:rPr>
          <w:rFonts w:ascii="Times New Roman" w:hAnsi="Times New Roman"/>
          <w:b/>
          <w:bCs/>
          <w:sz w:val="21"/>
          <w:szCs w:val="22"/>
          <w:lang w:val="en-US"/>
        </w:rPr>
        <w:t>In the case of set-</w:t>
      </w:r>
      <w:r>
        <w:rPr>
          <w:rFonts w:hint="eastAsia" w:ascii="Times New Roman" w:hAnsi="Times New Roman" w:eastAsia="宋体"/>
          <w:b/>
          <w:bCs/>
          <w:sz w:val="21"/>
          <w:szCs w:val="22"/>
          <w:lang w:val="en-US" w:eastAsia="zh-CN"/>
        </w:rPr>
        <w:t>A</w:t>
      </w:r>
      <w:r>
        <w:rPr>
          <w:rFonts w:ascii="Times New Roman" w:hAnsi="Times New Roman"/>
          <w:b/>
          <w:bCs/>
          <w:sz w:val="21"/>
          <w:szCs w:val="22"/>
          <w:lang w:val="en-US"/>
        </w:rPr>
        <w:t xml:space="preserve"> is empty, UE cannot ensure all aggregated carriers are synchronized without following this agreement, which is contradictory to RAN1’s another agreement that all aggregated carriers are synchronized.</w:t>
      </w:r>
    </w:p>
    <w:p>
      <w:pPr>
        <w:pStyle w:val="15"/>
        <w:spacing w:before="120" w:beforeLines="50" w:line="300" w:lineRule="auto"/>
        <w:ind w:left="1897" w:hanging="1891" w:hangingChars="900"/>
        <w:rPr>
          <w:rFonts w:ascii="Times New Roman" w:hAnsi="Times New Roman"/>
          <w:b/>
          <w:bCs/>
          <w:sz w:val="21"/>
          <w:szCs w:val="22"/>
          <w:lang w:val="en-US"/>
        </w:rPr>
      </w:pPr>
      <w:r>
        <w:rPr>
          <w:rFonts w:ascii="Times New Roman" w:hAnsi="Times New Roman"/>
          <w:b/>
          <w:bCs/>
          <w:sz w:val="21"/>
          <w:szCs w:val="22"/>
          <w:lang w:val="en-US"/>
        </w:rPr>
        <w:t>Proposal 1</w:t>
      </w:r>
      <w:r>
        <w:rPr>
          <w:rFonts w:ascii="Times New Roman" w:hAnsi="Times New Roman"/>
          <w:b/>
          <w:bCs/>
          <w:sz w:val="21"/>
          <w:szCs w:val="22"/>
          <w:lang w:val="en-US"/>
        </w:rPr>
        <w:tab/>
      </w:r>
      <w:r>
        <w:rPr>
          <w:rFonts w:ascii="Times New Roman" w:hAnsi="Times New Roman"/>
          <w:b/>
          <w:bCs/>
          <w:sz w:val="21"/>
          <w:szCs w:val="22"/>
          <w:lang w:val="en-US"/>
        </w:rPr>
        <w:t>This RAN1 agreement must be captured into current specification in order to achieve carrier aggregation.</w:t>
      </w:r>
    </w:p>
    <w:p>
      <w:pPr>
        <w:pStyle w:val="15"/>
        <w:spacing w:before="120" w:beforeLines="50" w:line="300" w:lineRule="auto"/>
        <w:ind w:left="1897" w:hanging="1891" w:hangingChars="900"/>
        <w:rPr>
          <w:rFonts w:ascii="Times New Roman" w:hAnsi="Times New Roman"/>
          <w:b/>
          <w:bCs/>
          <w:sz w:val="21"/>
          <w:szCs w:val="22"/>
          <w:lang w:val="en-US"/>
        </w:rPr>
      </w:pPr>
      <w:r>
        <w:rPr>
          <w:rFonts w:ascii="Times New Roman" w:hAnsi="Times New Roman"/>
          <w:b/>
          <w:bCs/>
          <w:sz w:val="21"/>
          <w:szCs w:val="22"/>
          <w:lang w:val="en-US"/>
        </w:rPr>
        <w:t>Proposal 2</w:t>
      </w:r>
      <w:r>
        <w:rPr>
          <w:rFonts w:ascii="Times New Roman" w:hAnsi="Times New Roman"/>
          <w:b/>
          <w:bCs/>
          <w:sz w:val="21"/>
          <w:szCs w:val="22"/>
          <w:lang w:val="en-US"/>
        </w:rPr>
        <w:tab/>
      </w:r>
      <w:r>
        <w:rPr>
          <w:rFonts w:ascii="Times New Roman" w:hAnsi="Times New Roman"/>
          <w:b/>
          <w:bCs/>
          <w:sz w:val="21"/>
          <w:szCs w:val="22"/>
          <w:lang w:val="en-US"/>
        </w:rPr>
        <w:t>In order to simply capture this agreement, it is suggest to add a note into carrier selection/reselection section in current MAC specification.</w:t>
      </w:r>
    </w:p>
    <w:p>
      <w:pPr>
        <w:pStyle w:val="15"/>
        <w:spacing w:before="120" w:beforeLines="50" w:line="300" w:lineRule="auto"/>
        <w:ind w:left="1897" w:hanging="1891" w:hangingChars="900"/>
        <w:rPr>
          <w:rFonts w:ascii="Times New Roman" w:hAnsi="Times New Roman"/>
          <w:b/>
          <w:bCs/>
          <w:sz w:val="21"/>
          <w:szCs w:val="22"/>
          <w:lang w:val="en-US"/>
        </w:rPr>
      </w:pPr>
      <w:r>
        <w:rPr>
          <w:rFonts w:ascii="Times New Roman" w:hAnsi="Times New Roman"/>
          <w:b/>
          <w:bCs/>
          <w:sz w:val="21"/>
          <w:szCs w:val="22"/>
          <w:lang w:val="en-US"/>
        </w:rPr>
        <w:t>Proposal 3</w:t>
      </w:r>
      <w:r>
        <w:rPr>
          <w:rFonts w:ascii="Times New Roman" w:hAnsi="Times New Roman"/>
          <w:b/>
          <w:bCs/>
          <w:sz w:val="21"/>
          <w:szCs w:val="22"/>
          <w:lang w:val="en-US"/>
        </w:rPr>
        <w:tab/>
      </w:r>
      <w:r>
        <w:rPr>
          <w:rFonts w:ascii="Times New Roman" w:hAnsi="Times New Roman"/>
          <w:b/>
          <w:bCs/>
          <w:sz w:val="21"/>
          <w:szCs w:val="22"/>
          <w:lang w:val="en-US"/>
        </w:rPr>
        <w:t>As a compromise, it is also acceptable to add a general description into current 3GPP TS 36.300 to involve the above mentioned agreement.</w:t>
      </w:r>
    </w:p>
    <w:p>
      <w:pPr>
        <w:pStyle w:val="15"/>
        <w:spacing w:before="120" w:beforeLines="50" w:line="300" w:lineRule="auto"/>
        <w:ind w:left="1897" w:hanging="1891" w:hangingChars="900"/>
        <w:rPr>
          <w:rFonts w:ascii="Times New Roman" w:hAnsi="Times New Roman"/>
          <w:b/>
          <w:bCs/>
          <w:sz w:val="21"/>
          <w:szCs w:val="22"/>
          <w:lang w:val="en-US"/>
        </w:rPr>
      </w:pPr>
      <w:r>
        <w:rPr>
          <w:rFonts w:ascii="Times New Roman" w:hAnsi="Times New Roman"/>
          <w:b/>
          <w:bCs/>
          <w:sz w:val="21"/>
          <w:szCs w:val="22"/>
          <w:lang w:val="en-US"/>
        </w:rPr>
        <w:t xml:space="preserve">Observation 2 </w:t>
      </w:r>
      <w:r>
        <w:rPr>
          <w:rFonts w:hint="eastAsia" w:ascii="Times New Roman" w:hAnsi="Times New Roman"/>
          <w:b/>
          <w:bCs/>
          <w:sz w:val="21"/>
          <w:szCs w:val="22"/>
          <w:lang w:val="en-US"/>
        </w:rPr>
        <w:t xml:space="preserve">  </w:t>
      </w:r>
      <w:r>
        <w:rPr>
          <w:rFonts w:ascii="Times New Roman" w:hAnsi="Times New Roman"/>
          <w:b/>
          <w:bCs/>
          <w:sz w:val="21"/>
          <w:szCs w:val="22"/>
          <w:lang w:val="en-US"/>
        </w:rPr>
        <w:t>With the feature of SLSS transmission di</w:t>
      </w:r>
      <w:r>
        <w:rPr>
          <w:rFonts w:hint="eastAsia" w:ascii="Times New Roman" w:hAnsi="Times New Roman" w:eastAsia="宋体"/>
          <w:b/>
          <w:bCs/>
          <w:sz w:val="21"/>
          <w:szCs w:val="22"/>
          <w:lang w:val="en-US" w:eastAsia="zh-CN"/>
        </w:rPr>
        <w:t>s</w:t>
      </w:r>
      <w:r>
        <w:rPr>
          <w:rFonts w:ascii="Times New Roman" w:hAnsi="Times New Roman"/>
          <w:b/>
          <w:bCs/>
          <w:sz w:val="21"/>
          <w:szCs w:val="22"/>
          <w:lang w:val="en-US"/>
        </w:rPr>
        <w:t xml:space="preserve">abling, </w:t>
      </w:r>
      <w:r>
        <w:rPr>
          <w:rFonts w:hint="eastAsia" w:ascii="Times New Roman" w:hAnsi="Times New Roman" w:eastAsia="宋体"/>
          <w:b/>
          <w:bCs/>
          <w:sz w:val="21"/>
          <w:szCs w:val="22"/>
          <w:lang w:val="en-US" w:eastAsia="zh-CN"/>
        </w:rPr>
        <w:t>i</w:t>
      </w:r>
      <w:r>
        <w:rPr>
          <w:rFonts w:ascii="Times New Roman" w:hAnsi="Times New Roman" w:eastAsia="宋体"/>
          <w:b/>
          <w:bCs/>
          <w:sz w:val="21"/>
          <w:szCs w:val="22"/>
          <w:lang w:val="en-US"/>
        </w:rPr>
        <w:t>t may happen that</w:t>
      </w:r>
      <w:r>
        <w:rPr>
          <w:rFonts w:hint="eastAsia" w:ascii="Times New Roman" w:hAnsi="Times New Roman" w:eastAsia="宋体"/>
          <w:b/>
          <w:bCs/>
          <w:sz w:val="21"/>
          <w:szCs w:val="22"/>
          <w:lang w:val="en-US"/>
        </w:rPr>
        <w:t xml:space="preserve"> only one synchronization carrier is in</w:t>
      </w:r>
      <w:r>
        <w:rPr>
          <w:rFonts w:ascii="Times New Roman" w:hAnsi="Times New Roman" w:eastAsia="宋体"/>
          <w:b/>
          <w:bCs/>
          <w:sz w:val="21"/>
          <w:szCs w:val="22"/>
          <w:lang w:val="en-US"/>
        </w:rPr>
        <w:t>cluded in</w:t>
      </w:r>
      <w:r>
        <w:rPr>
          <w:rFonts w:hint="eastAsia" w:ascii="Times New Roman" w:hAnsi="Times New Roman" w:eastAsia="宋体"/>
          <w:b/>
          <w:bCs/>
          <w:sz w:val="21"/>
          <w:szCs w:val="22"/>
          <w:lang w:val="en-US"/>
        </w:rPr>
        <w:t xml:space="preserve"> Set-B and this carrier is configured </w:t>
      </w:r>
      <w:r>
        <w:rPr>
          <w:rFonts w:ascii="Times New Roman" w:hAnsi="Times New Roman" w:eastAsia="宋体"/>
          <w:b/>
          <w:bCs/>
          <w:sz w:val="21"/>
          <w:szCs w:val="22"/>
          <w:lang w:val="en-US"/>
        </w:rPr>
        <w:t xml:space="preserve">by eNB </w:t>
      </w:r>
      <w:r>
        <w:rPr>
          <w:rFonts w:hint="eastAsia" w:ascii="Times New Roman" w:hAnsi="Times New Roman" w:eastAsia="宋体"/>
          <w:b/>
          <w:bCs/>
          <w:sz w:val="21"/>
          <w:szCs w:val="22"/>
          <w:lang w:val="en-US"/>
        </w:rPr>
        <w:t>with slss-TxDisabled.</w:t>
      </w:r>
    </w:p>
    <w:p>
      <w:pPr>
        <w:pStyle w:val="15"/>
        <w:spacing w:before="120" w:beforeLines="50" w:line="300" w:lineRule="auto"/>
        <w:ind w:left="1897" w:hanging="1891" w:hangingChars="900"/>
        <w:rPr>
          <w:b/>
          <w:bCs/>
        </w:rPr>
      </w:pPr>
      <w:r>
        <w:rPr>
          <w:rFonts w:ascii="Times New Roman" w:hAnsi="Times New Roman"/>
          <w:b/>
          <w:bCs/>
          <w:sz w:val="21"/>
          <w:szCs w:val="22"/>
          <w:lang w:val="en-US"/>
        </w:rPr>
        <w:t xml:space="preserve">Proposal 4 </w:t>
      </w:r>
      <w:r>
        <w:rPr>
          <w:rFonts w:hint="eastAsia" w:ascii="Times New Roman" w:hAnsi="Times New Roman"/>
          <w:b/>
          <w:bCs/>
          <w:sz w:val="21"/>
          <w:szCs w:val="22"/>
          <w:lang w:val="en-US"/>
        </w:rPr>
        <w:t xml:space="preserve">      </w:t>
      </w:r>
      <w:r>
        <w:rPr>
          <w:rFonts w:ascii="Times New Roman" w:hAnsi="Times New Roman"/>
          <w:b/>
          <w:bCs/>
          <w:sz w:val="21"/>
          <w:szCs w:val="22"/>
          <w:lang w:val="en-US"/>
        </w:rPr>
        <w:t>It is suggested to specify UE behavior in abnormal case for SLSS transmission disabling</w:t>
      </w:r>
      <w:r>
        <w:rPr>
          <w:rFonts w:hint="eastAsia" w:ascii="Times New Roman" w:hAnsi="Times New Roman"/>
          <w:b/>
          <w:bCs/>
          <w:sz w:val="21"/>
          <w:szCs w:val="22"/>
          <w:lang w:val="en-US"/>
        </w:rPr>
        <w:t xml:space="preserve"> </w:t>
      </w:r>
      <w:r>
        <w:rPr>
          <w:rFonts w:ascii="Times New Roman" w:hAnsi="Times New Roman"/>
          <w:b/>
          <w:bCs/>
          <w:sz w:val="21"/>
          <w:szCs w:val="22"/>
          <w:lang w:val="en-US"/>
        </w:rPr>
        <w:t xml:space="preserve">feature. </w:t>
      </w:r>
    </w:p>
    <w:p>
      <w:pPr>
        <w:pStyle w:val="2"/>
        <w:ind w:left="0" w:firstLine="0"/>
      </w:pPr>
      <w:bookmarkStart w:id="1" w:name="_In-sequence_SDU_delivery"/>
      <w:bookmarkEnd w:id="1"/>
      <w:r>
        <w:t>References</w:t>
      </w:r>
    </w:p>
    <w:p>
      <w:pPr>
        <w:pStyle w:val="15"/>
        <w:rPr>
          <w:rFonts w:ascii="Times New Roman" w:hAnsi="Times New Roman" w:eastAsia="宋体"/>
          <w:lang w:val="en-US"/>
        </w:rPr>
      </w:pPr>
      <w:r>
        <w:rPr>
          <w:rFonts w:ascii="Times New Roman" w:hAnsi="Times New Roman" w:eastAsia="宋体"/>
          <w:lang w:val="en-US"/>
        </w:rPr>
        <w:t>[1] R2-1811328</w:t>
      </w:r>
      <w:r>
        <w:rPr>
          <w:rFonts w:hint="eastAsia" w:ascii="Times New Roman" w:hAnsi="Times New Roman" w:eastAsia="宋体"/>
          <w:lang w:val="en-US"/>
        </w:rPr>
        <w:t>, CR on RAN1 synchronization agreement in 36.321, ZTE</w:t>
      </w:r>
    </w:p>
    <w:p>
      <w:pPr>
        <w:pStyle w:val="15"/>
        <w:rPr>
          <w:rFonts w:ascii="Times New Roman" w:hAnsi="Times New Roman" w:eastAsia="宋体"/>
          <w:lang w:val="en-US"/>
        </w:rPr>
      </w:pPr>
      <w:r>
        <w:rPr>
          <w:rFonts w:ascii="Times New Roman" w:hAnsi="Times New Roman" w:eastAsia="宋体"/>
          <w:lang w:val="en-US"/>
        </w:rPr>
        <w:t>[2] R2-1811329</w:t>
      </w:r>
      <w:r>
        <w:rPr>
          <w:rFonts w:hint="eastAsia" w:ascii="Times New Roman" w:hAnsi="Times New Roman" w:eastAsia="宋体"/>
          <w:lang w:val="en-US"/>
        </w:rPr>
        <w:t>, CR on RAN1 synchronization agreement in 36.300, ZTE</w:t>
      </w:r>
    </w:p>
    <w:p>
      <w:pPr>
        <w:pStyle w:val="15"/>
        <w:rPr>
          <w:rFonts w:ascii="Times New Roman" w:hAnsi="Times New Roman" w:eastAsia="宋体"/>
          <w:lang w:val="en-US"/>
        </w:rPr>
      </w:pPr>
      <w:r>
        <w:rPr>
          <w:rFonts w:ascii="Times New Roman" w:hAnsi="Times New Roman" w:eastAsia="宋体"/>
          <w:lang w:val="en-US"/>
        </w:rPr>
        <w:t>[3] R2-1811331</w:t>
      </w:r>
      <w:r>
        <w:rPr>
          <w:rFonts w:hint="eastAsia" w:ascii="Times New Roman" w:hAnsi="Times New Roman" w:eastAsia="宋体"/>
          <w:lang w:val="en-US"/>
        </w:rPr>
        <w:t>, CR on SLSS transmission disabler configuration in 36.331, ZTE</w:t>
      </w:r>
    </w:p>
    <w:sectPr>
      <w:footerReference r:id="rId4" w:type="default"/>
      <w:headerReference r:id="rId3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KaiTi_GB2312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Yu Gothic">
    <w:altName w:val="MS Mincho"/>
    <w:panose1 w:val="00000000000000000000"/>
    <w:charset w:val="80"/>
    <w:family w:val="swiss"/>
    <w:pitch w:val="default"/>
    <w:sig w:usb0="00000000" w:usb1="00000000" w:usb2="00000016" w:usb3="00000000" w:csb0="000200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tabs>
        <w:tab w:val="center" w:pos="4820"/>
        <w:tab w:val="right" w:pos="9639"/>
      </w:tabs>
      <w:jc w:val="left"/>
    </w:pPr>
    <w:r>
      <w:tab/>
    </w:r>
    <w:r>
      <w:rPr>
        <w:rStyle w:val="52"/>
      </w:rPr>
      <w:fldChar w:fldCharType="begin"/>
    </w:r>
    <w:r>
      <w:rPr>
        <w:rStyle w:val="52"/>
      </w:rPr>
      <w:instrText xml:space="preserve"> PAGE </w:instrText>
    </w:r>
    <w:r>
      <w:rPr>
        <w:rStyle w:val="52"/>
      </w:rPr>
      <w:fldChar w:fldCharType="separate"/>
    </w:r>
    <w:r>
      <w:rPr>
        <w:rStyle w:val="52"/>
      </w:rPr>
      <w:t>3</w:t>
    </w:r>
    <w:r>
      <w:rPr>
        <w:rStyle w:val="52"/>
      </w:rPr>
      <w:fldChar w:fldCharType="end"/>
    </w:r>
    <w:r>
      <w:rPr>
        <w:rStyle w:val="52"/>
      </w:rPr>
      <w:t>/</w:t>
    </w:r>
    <w:r>
      <w:rPr>
        <w:rStyle w:val="52"/>
      </w:rPr>
      <w:fldChar w:fldCharType="begin"/>
    </w:r>
    <w:r>
      <w:rPr>
        <w:rStyle w:val="52"/>
      </w:rPr>
      <w:instrText xml:space="preserve"> NUMPAGES </w:instrText>
    </w:r>
    <w:r>
      <w:rPr>
        <w:rStyle w:val="52"/>
      </w:rPr>
      <w:fldChar w:fldCharType="separate"/>
    </w:r>
    <w:r>
      <w:rPr>
        <w:rStyle w:val="52"/>
      </w:rPr>
      <w:t>4</w:t>
    </w:r>
    <w:r>
      <w:rPr>
        <w:rStyle w:val="52"/>
      </w:rPr>
      <w:fldChar w:fldCharType="end"/>
    </w:r>
    <w:r>
      <w:rPr>
        <w:rStyle w:val="52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lowerRoman"/>
      <w:pStyle w:val="33"/>
      <w:lvlText w:val="%1."/>
      <w:lvlJc w:val="right"/>
      <w:pPr>
        <w:ind w:left="926" w:hanging="360"/>
      </w:pPr>
    </w:lvl>
  </w:abstractNum>
  <w:abstractNum w:abstractNumId="1">
    <w:nsid w:val="015E2EF7"/>
    <w:multiLevelType w:val="multilevel"/>
    <w:tmpl w:val="015E2EF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F847706"/>
    <w:multiLevelType w:val="multilevel"/>
    <w:tmpl w:val="0F847706"/>
    <w:lvl w:ilvl="0" w:tentative="0">
      <w:start w:val="1"/>
      <w:numFmt w:val="bullet"/>
      <w:pStyle w:val="27"/>
      <w:lvlText w:val=""/>
      <w:lvlJc w:val="left"/>
      <w:pPr>
        <w:ind w:left="185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3">
    <w:nsid w:val="20396CDA"/>
    <w:multiLevelType w:val="multilevel"/>
    <w:tmpl w:val="20396CDA"/>
    <w:lvl w:ilvl="0" w:tentative="0">
      <w:start w:val="1"/>
      <w:numFmt w:val="bullet"/>
      <w:pStyle w:val="29"/>
      <w:lvlText w:val="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nsid w:val="275A7442"/>
    <w:multiLevelType w:val="multilevel"/>
    <w:tmpl w:val="275A7442"/>
    <w:lvl w:ilvl="0" w:tentative="0">
      <w:start w:val="1"/>
      <w:numFmt w:val="bullet"/>
      <w:pStyle w:val="28"/>
      <w:lvlText w:val=""/>
      <w:lvlJc w:val="left"/>
      <w:pPr>
        <w:ind w:left="157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5">
    <w:nsid w:val="33EA44FF"/>
    <w:multiLevelType w:val="multilevel"/>
    <w:tmpl w:val="33EA44FF"/>
    <w:lvl w:ilvl="0" w:tentative="0">
      <w:start w:val="1"/>
      <w:numFmt w:val="decimal"/>
      <w:pStyle w:val="26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AA46647"/>
    <w:multiLevelType w:val="multilevel"/>
    <w:tmpl w:val="3AA46647"/>
    <w:lvl w:ilvl="0" w:tentative="0">
      <w:start w:val="1"/>
      <w:numFmt w:val="decimal"/>
      <w:pStyle w:val="7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D180A3F"/>
    <w:multiLevelType w:val="multilevel"/>
    <w:tmpl w:val="3D180A3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BDF65F6"/>
    <w:multiLevelType w:val="multilevel"/>
    <w:tmpl w:val="4BDF65F6"/>
    <w:lvl w:ilvl="0" w:tentative="0">
      <w:start w:val="1"/>
      <w:numFmt w:val="decimal"/>
      <w:pStyle w:val="66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96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1F44A7"/>
    <w:multiLevelType w:val="multilevel"/>
    <w:tmpl w:val="521F44A7"/>
    <w:lvl w:ilvl="0" w:tentative="0">
      <w:start w:val="1"/>
      <w:numFmt w:val="bullet"/>
      <w:pStyle w:val="11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5B63B78C"/>
    <w:multiLevelType w:val="singleLevel"/>
    <w:tmpl w:val="5B63B78C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2">
    <w:nsid w:val="5BDE1D10"/>
    <w:multiLevelType w:val="multilevel"/>
    <w:tmpl w:val="5BDE1D10"/>
    <w:lvl w:ilvl="0" w:tentative="0">
      <w:start w:val="1"/>
      <w:numFmt w:val="bullet"/>
      <w:pStyle w:val="30"/>
      <w:lvlText w:val=""/>
      <w:lvlJc w:val="left"/>
      <w:pPr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3">
    <w:nsid w:val="6E4C234E"/>
    <w:multiLevelType w:val="multilevel"/>
    <w:tmpl w:val="6E4C234E"/>
    <w:lvl w:ilvl="0" w:tentative="0">
      <w:start w:val="1"/>
      <w:numFmt w:val="lowerLetter"/>
      <w:pStyle w:val="25"/>
      <w:lvlText w:val="%1."/>
      <w:lvlJc w:val="left"/>
      <w:pPr>
        <w:ind w:left="1287" w:hanging="360"/>
      </w:pPr>
    </w:lvl>
    <w:lvl w:ilvl="1" w:tentative="0">
      <w:start w:val="1"/>
      <w:numFmt w:val="lowerLetter"/>
      <w:lvlText w:val="%2."/>
      <w:lvlJc w:val="left"/>
      <w:pPr>
        <w:ind w:left="2007" w:hanging="360"/>
      </w:pPr>
    </w:lvl>
    <w:lvl w:ilvl="2" w:tentative="0">
      <w:start w:val="1"/>
      <w:numFmt w:val="lowerRoman"/>
      <w:lvlText w:val="%3."/>
      <w:lvlJc w:val="right"/>
      <w:pPr>
        <w:ind w:left="2727" w:hanging="180"/>
      </w:pPr>
    </w:lvl>
    <w:lvl w:ilvl="3" w:tentative="0">
      <w:start w:val="1"/>
      <w:numFmt w:val="decimal"/>
      <w:lvlText w:val="%4."/>
      <w:lvlJc w:val="left"/>
      <w:pPr>
        <w:ind w:left="3447" w:hanging="360"/>
      </w:pPr>
    </w:lvl>
    <w:lvl w:ilvl="4" w:tentative="0">
      <w:start w:val="1"/>
      <w:numFmt w:val="lowerLetter"/>
      <w:lvlText w:val="%5."/>
      <w:lvlJc w:val="left"/>
      <w:pPr>
        <w:ind w:left="4167" w:hanging="360"/>
      </w:pPr>
    </w:lvl>
    <w:lvl w:ilvl="5" w:tentative="0">
      <w:start w:val="1"/>
      <w:numFmt w:val="lowerRoman"/>
      <w:lvlText w:val="%6."/>
      <w:lvlJc w:val="right"/>
      <w:pPr>
        <w:ind w:left="4887" w:hanging="180"/>
      </w:pPr>
    </w:lvl>
    <w:lvl w:ilvl="6" w:tentative="0">
      <w:start w:val="1"/>
      <w:numFmt w:val="decimal"/>
      <w:lvlText w:val="%7."/>
      <w:lvlJc w:val="left"/>
      <w:pPr>
        <w:ind w:left="5607" w:hanging="360"/>
      </w:pPr>
    </w:lvl>
    <w:lvl w:ilvl="7" w:tentative="0">
      <w:start w:val="1"/>
      <w:numFmt w:val="lowerLetter"/>
      <w:lvlText w:val="%8."/>
      <w:lvlJc w:val="left"/>
      <w:pPr>
        <w:ind w:left="6327" w:hanging="360"/>
      </w:pPr>
    </w:lvl>
    <w:lvl w:ilvl="8" w:tentative="0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4FF1CEA"/>
    <w:multiLevelType w:val="multilevel"/>
    <w:tmpl w:val="74FF1CEA"/>
    <w:lvl w:ilvl="0" w:tentative="0">
      <w:start w:val="1"/>
      <w:numFmt w:val="bullet"/>
      <w:pStyle w:val="36"/>
      <w:lvlText w:val=""/>
      <w:lvlJc w:val="left"/>
      <w:pPr>
        <w:ind w:left="213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2"/>
  </w:num>
  <w:num w:numId="7">
    <w:abstractNumId w:val="0"/>
  </w:num>
  <w:num w:numId="8">
    <w:abstractNumId w:val="14"/>
  </w:num>
  <w:num w:numId="9">
    <w:abstractNumId w:val="8"/>
  </w:num>
  <w:num w:numId="10">
    <w:abstractNumId w:val="6"/>
  </w:num>
  <w:num w:numId="11">
    <w:abstractNumId w:val="9"/>
  </w:num>
  <w:num w:numId="12">
    <w:abstractNumId w:val="10"/>
  </w:num>
  <w:num w:numId="13">
    <w:abstractNumId w:val="11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linkStyles/>
  <w:attachedTemplate r:id="rId1"/>
  <w:documentProtection w:enforcement="0"/>
  <w:defaultTabStop w:val="567"/>
  <w:doNotHyphenateCaps/>
  <w:drawingGridHorizontalSpacing w:val="120"/>
  <w:drawingGridVerticalSpacing w:val="120"/>
  <w:displayVerticalDrawingGridEvery w:val="0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C29"/>
    <w:rsid w:val="000006E1"/>
    <w:rsid w:val="00002A37"/>
    <w:rsid w:val="0000564C"/>
    <w:rsid w:val="00006446"/>
    <w:rsid w:val="00006896"/>
    <w:rsid w:val="00007CDC"/>
    <w:rsid w:val="00011B28"/>
    <w:rsid w:val="00015D15"/>
    <w:rsid w:val="00016B52"/>
    <w:rsid w:val="0002408C"/>
    <w:rsid w:val="0002564D"/>
    <w:rsid w:val="00025ECA"/>
    <w:rsid w:val="000325B8"/>
    <w:rsid w:val="00034C15"/>
    <w:rsid w:val="00035F1B"/>
    <w:rsid w:val="00036BA1"/>
    <w:rsid w:val="000422E2"/>
    <w:rsid w:val="00042F22"/>
    <w:rsid w:val="000444EF"/>
    <w:rsid w:val="00045902"/>
    <w:rsid w:val="00052A07"/>
    <w:rsid w:val="000534E3"/>
    <w:rsid w:val="000541CC"/>
    <w:rsid w:val="0005606A"/>
    <w:rsid w:val="00057117"/>
    <w:rsid w:val="000616E7"/>
    <w:rsid w:val="0006487E"/>
    <w:rsid w:val="00065151"/>
    <w:rsid w:val="00065E1A"/>
    <w:rsid w:val="000661B9"/>
    <w:rsid w:val="00077E1D"/>
    <w:rsid w:val="00077E5F"/>
    <w:rsid w:val="000800C7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80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237"/>
    <w:rsid w:val="000D4797"/>
    <w:rsid w:val="000E0527"/>
    <w:rsid w:val="000E1E92"/>
    <w:rsid w:val="000E55CC"/>
    <w:rsid w:val="000E7CEA"/>
    <w:rsid w:val="000F06D6"/>
    <w:rsid w:val="000F0EB1"/>
    <w:rsid w:val="000F1106"/>
    <w:rsid w:val="000F3BE9"/>
    <w:rsid w:val="000F3F6C"/>
    <w:rsid w:val="000F6DF3"/>
    <w:rsid w:val="000F7886"/>
    <w:rsid w:val="001005FF"/>
    <w:rsid w:val="001062FB"/>
    <w:rsid w:val="001063E6"/>
    <w:rsid w:val="00112220"/>
    <w:rsid w:val="00113CF4"/>
    <w:rsid w:val="001153EA"/>
    <w:rsid w:val="00115643"/>
    <w:rsid w:val="00116765"/>
    <w:rsid w:val="00120BD9"/>
    <w:rsid w:val="001219F5"/>
    <w:rsid w:val="00121A20"/>
    <w:rsid w:val="0012377F"/>
    <w:rsid w:val="00124314"/>
    <w:rsid w:val="00126B4A"/>
    <w:rsid w:val="001277DD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66DB2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360F"/>
    <w:rsid w:val="001A4A4C"/>
    <w:rsid w:val="001A6173"/>
    <w:rsid w:val="001A6CBA"/>
    <w:rsid w:val="001B0D97"/>
    <w:rsid w:val="001B29CD"/>
    <w:rsid w:val="001B5A5D"/>
    <w:rsid w:val="001C1CE5"/>
    <w:rsid w:val="001C3D2A"/>
    <w:rsid w:val="001D370F"/>
    <w:rsid w:val="001D51BA"/>
    <w:rsid w:val="001D53E7"/>
    <w:rsid w:val="001D6342"/>
    <w:rsid w:val="001D6D53"/>
    <w:rsid w:val="001E58E2"/>
    <w:rsid w:val="001E7AED"/>
    <w:rsid w:val="001F1596"/>
    <w:rsid w:val="001F3916"/>
    <w:rsid w:val="001F54C5"/>
    <w:rsid w:val="001F662C"/>
    <w:rsid w:val="001F7074"/>
    <w:rsid w:val="00200490"/>
    <w:rsid w:val="00201F3A"/>
    <w:rsid w:val="00203F96"/>
    <w:rsid w:val="00204B8D"/>
    <w:rsid w:val="002069B2"/>
    <w:rsid w:val="00207FA3"/>
    <w:rsid w:val="0021283C"/>
    <w:rsid w:val="00214DA8"/>
    <w:rsid w:val="00215423"/>
    <w:rsid w:val="002158FA"/>
    <w:rsid w:val="002203B3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21CC"/>
    <w:rsid w:val="00257543"/>
    <w:rsid w:val="002617E7"/>
    <w:rsid w:val="00264228"/>
    <w:rsid w:val="00264334"/>
    <w:rsid w:val="0026473E"/>
    <w:rsid w:val="00266214"/>
    <w:rsid w:val="00267C83"/>
    <w:rsid w:val="00270EE3"/>
    <w:rsid w:val="0027144F"/>
    <w:rsid w:val="00271813"/>
    <w:rsid w:val="00271F3A"/>
    <w:rsid w:val="00272D32"/>
    <w:rsid w:val="00273278"/>
    <w:rsid w:val="002737F4"/>
    <w:rsid w:val="00274BC5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6EAD"/>
    <w:rsid w:val="002B24D6"/>
    <w:rsid w:val="002C0CFA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5AAD"/>
    <w:rsid w:val="00307BA1"/>
    <w:rsid w:val="00307CC7"/>
    <w:rsid w:val="00311702"/>
    <w:rsid w:val="00311E82"/>
    <w:rsid w:val="00313FD6"/>
    <w:rsid w:val="003143BD"/>
    <w:rsid w:val="00315363"/>
    <w:rsid w:val="003203ED"/>
    <w:rsid w:val="00322C9F"/>
    <w:rsid w:val="00323785"/>
    <w:rsid w:val="00324D23"/>
    <w:rsid w:val="00331751"/>
    <w:rsid w:val="00332E05"/>
    <w:rsid w:val="00334579"/>
    <w:rsid w:val="00335858"/>
    <w:rsid w:val="00336BDA"/>
    <w:rsid w:val="00342BD7"/>
    <w:rsid w:val="00343576"/>
    <w:rsid w:val="00346DB5"/>
    <w:rsid w:val="003477B1"/>
    <w:rsid w:val="00357380"/>
    <w:rsid w:val="003602D9"/>
    <w:rsid w:val="003604CE"/>
    <w:rsid w:val="00370E47"/>
    <w:rsid w:val="003742AC"/>
    <w:rsid w:val="00377CE1"/>
    <w:rsid w:val="0038321F"/>
    <w:rsid w:val="00385BF0"/>
    <w:rsid w:val="003939FF"/>
    <w:rsid w:val="003944A1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7D5"/>
    <w:rsid w:val="003B5AD5"/>
    <w:rsid w:val="003B64BB"/>
    <w:rsid w:val="003B7FE5"/>
    <w:rsid w:val="003C0768"/>
    <w:rsid w:val="003C11C8"/>
    <w:rsid w:val="003C2702"/>
    <w:rsid w:val="003C56DC"/>
    <w:rsid w:val="003C6CBC"/>
    <w:rsid w:val="003C7806"/>
    <w:rsid w:val="003D109F"/>
    <w:rsid w:val="003D2478"/>
    <w:rsid w:val="003D3C45"/>
    <w:rsid w:val="003D5B1F"/>
    <w:rsid w:val="003E15FA"/>
    <w:rsid w:val="003E2081"/>
    <w:rsid w:val="003E4C69"/>
    <w:rsid w:val="003E55E4"/>
    <w:rsid w:val="003E74E3"/>
    <w:rsid w:val="003F05C7"/>
    <w:rsid w:val="003F297D"/>
    <w:rsid w:val="003F2CD4"/>
    <w:rsid w:val="003F6BBE"/>
    <w:rsid w:val="003F6C1E"/>
    <w:rsid w:val="004000E8"/>
    <w:rsid w:val="00401B3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3FEC"/>
    <w:rsid w:val="004242F4"/>
    <w:rsid w:val="00427248"/>
    <w:rsid w:val="00427548"/>
    <w:rsid w:val="00437447"/>
    <w:rsid w:val="00441A92"/>
    <w:rsid w:val="004431DC"/>
    <w:rsid w:val="00444AF5"/>
    <w:rsid w:val="00444F56"/>
    <w:rsid w:val="00446488"/>
    <w:rsid w:val="004517AA"/>
    <w:rsid w:val="00452CAC"/>
    <w:rsid w:val="00455148"/>
    <w:rsid w:val="00457565"/>
    <w:rsid w:val="00457B71"/>
    <w:rsid w:val="00462338"/>
    <w:rsid w:val="004656A8"/>
    <w:rsid w:val="004669E2"/>
    <w:rsid w:val="00470C31"/>
    <w:rsid w:val="00471DE0"/>
    <w:rsid w:val="00471F12"/>
    <w:rsid w:val="004734D0"/>
    <w:rsid w:val="0047556B"/>
    <w:rsid w:val="00477768"/>
    <w:rsid w:val="00485443"/>
    <w:rsid w:val="00492BC5"/>
    <w:rsid w:val="004964F1"/>
    <w:rsid w:val="004A16BC"/>
    <w:rsid w:val="004A2B94"/>
    <w:rsid w:val="004B6F6A"/>
    <w:rsid w:val="004B7C0C"/>
    <w:rsid w:val="004C3898"/>
    <w:rsid w:val="004D1C96"/>
    <w:rsid w:val="004D36B1"/>
    <w:rsid w:val="004D7EBD"/>
    <w:rsid w:val="004E11F7"/>
    <w:rsid w:val="004E2680"/>
    <w:rsid w:val="004E28F9"/>
    <w:rsid w:val="004E462E"/>
    <w:rsid w:val="004E56DC"/>
    <w:rsid w:val="004E76F4"/>
    <w:rsid w:val="004F0B4E"/>
    <w:rsid w:val="004F0B6C"/>
    <w:rsid w:val="004F2078"/>
    <w:rsid w:val="004F4199"/>
    <w:rsid w:val="004F4DA3"/>
    <w:rsid w:val="00502DDD"/>
    <w:rsid w:val="00506557"/>
    <w:rsid w:val="0050677A"/>
    <w:rsid w:val="0050757C"/>
    <w:rsid w:val="005108D8"/>
    <w:rsid w:val="005116F9"/>
    <w:rsid w:val="005153A7"/>
    <w:rsid w:val="005155F1"/>
    <w:rsid w:val="005219CF"/>
    <w:rsid w:val="00527C29"/>
    <w:rsid w:val="00534B59"/>
    <w:rsid w:val="00536759"/>
    <w:rsid w:val="00537C62"/>
    <w:rsid w:val="00546970"/>
    <w:rsid w:val="00554E19"/>
    <w:rsid w:val="0056121F"/>
    <w:rsid w:val="00572505"/>
    <w:rsid w:val="00575A81"/>
    <w:rsid w:val="00582809"/>
    <w:rsid w:val="0058798C"/>
    <w:rsid w:val="005900FA"/>
    <w:rsid w:val="005935A4"/>
    <w:rsid w:val="005948C2"/>
    <w:rsid w:val="00595DCA"/>
    <w:rsid w:val="0059779B"/>
    <w:rsid w:val="005A209A"/>
    <w:rsid w:val="005A3D81"/>
    <w:rsid w:val="005A662D"/>
    <w:rsid w:val="005B1409"/>
    <w:rsid w:val="005B2A26"/>
    <w:rsid w:val="005B35D7"/>
    <w:rsid w:val="005B392A"/>
    <w:rsid w:val="005B3AA3"/>
    <w:rsid w:val="005B4A05"/>
    <w:rsid w:val="005B5FEE"/>
    <w:rsid w:val="005B6F83"/>
    <w:rsid w:val="005C0690"/>
    <w:rsid w:val="005C74FB"/>
    <w:rsid w:val="005C7685"/>
    <w:rsid w:val="005D1602"/>
    <w:rsid w:val="005D5C72"/>
    <w:rsid w:val="005E385F"/>
    <w:rsid w:val="005E5B81"/>
    <w:rsid w:val="005E5CDD"/>
    <w:rsid w:val="005F2CB1"/>
    <w:rsid w:val="005F2FA2"/>
    <w:rsid w:val="005F3025"/>
    <w:rsid w:val="005F618C"/>
    <w:rsid w:val="005F70BD"/>
    <w:rsid w:val="00601BDB"/>
    <w:rsid w:val="0060283C"/>
    <w:rsid w:val="006045F6"/>
    <w:rsid w:val="00604F14"/>
    <w:rsid w:val="00610D9F"/>
    <w:rsid w:val="00611B83"/>
    <w:rsid w:val="00613257"/>
    <w:rsid w:val="00616D46"/>
    <w:rsid w:val="00617993"/>
    <w:rsid w:val="00620A71"/>
    <w:rsid w:val="00620D80"/>
    <w:rsid w:val="006234A6"/>
    <w:rsid w:val="006255E7"/>
    <w:rsid w:val="00630001"/>
    <w:rsid w:val="006311B3"/>
    <w:rsid w:val="0063284C"/>
    <w:rsid w:val="006356E5"/>
    <w:rsid w:val="00635A60"/>
    <w:rsid w:val="00636398"/>
    <w:rsid w:val="006368CC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DB"/>
    <w:rsid w:val="006771F9"/>
    <w:rsid w:val="006776D7"/>
    <w:rsid w:val="00681003"/>
    <w:rsid w:val="006817C9"/>
    <w:rsid w:val="00683ECE"/>
    <w:rsid w:val="00691FD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127"/>
    <w:rsid w:val="006D5BE0"/>
    <w:rsid w:val="006D6F08"/>
    <w:rsid w:val="006E062C"/>
    <w:rsid w:val="006E0FC2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DA9"/>
    <w:rsid w:val="006F341D"/>
    <w:rsid w:val="006F3CDE"/>
    <w:rsid w:val="006F58D4"/>
    <w:rsid w:val="006F6582"/>
    <w:rsid w:val="00703309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635"/>
    <w:rsid w:val="00736D7D"/>
    <w:rsid w:val="00740E58"/>
    <w:rsid w:val="007445A0"/>
    <w:rsid w:val="0074524B"/>
    <w:rsid w:val="00747D8B"/>
    <w:rsid w:val="00751228"/>
    <w:rsid w:val="007571E1"/>
    <w:rsid w:val="007604B2"/>
    <w:rsid w:val="00760AAB"/>
    <w:rsid w:val="00765281"/>
    <w:rsid w:val="00766BAD"/>
    <w:rsid w:val="00772382"/>
    <w:rsid w:val="007729A2"/>
    <w:rsid w:val="007755F2"/>
    <w:rsid w:val="00776971"/>
    <w:rsid w:val="00776EFE"/>
    <w:rsid w:val="00780A80"/>
    <w:rsid w:val="0078177E"/>
    <w:rsid w:val="0078304C"/>
    <w:rsid w:val="00783673"/>
    <w:rsid w:val="007836BB"/>
    <w:rsid w:val="007837B4"/>
    <w:rsid w:val="00785490"/>
    <w:rsid w:val="00787120"/>
    <w:rsid w:val="007925EA"/>
    <w:rsid w:val="00793CD8"/>
    <w:rsid w:val="00795C92"/>
    <w:rsid w:val="00796231"/>
    <w:rsid w:val="0079624C"/>
    <w:rsid w:val="007A1CB3"/>
    <w:rsid w:val="007A306F"/>
    <w:rsid w:val="007A43A6"/>
    <w:rsid w:val="007A58A6"/>
    <w:rsid w:val="007B3D2D"/>
    <w:rsid w:val="007B50AE"/>
    <w:rsid w:val="007B51DF"/>
    <w:rsid w:val="007C05DD"/>
    <w:rsid w:val="007C113E"/>
    <w:rsid w:val="007C3D18"/>
    <w:rsid w:val="007C60BF"/>
    <w:rsid w:val="007C6A07"/>
    <w:rsid w:val="007C75A1"/>
    <w:rsid w:val="007C77A5"/>
    <w:rsid w:val="007D04E5"/>
    <w:rsid w:val="007D5901"/>
    <w:rsid w:val="007D7526"/>
    <w:rsid w:val="007E0469"/>
    <w:rsid w:val="007E3C00"/>
    <w:rsid w:val="007E4610"/>
    <w:rsid w:val="007E4715"/>
    <w:rsid w:val="007E505B"/>
    <w:rsid w:val="007E7091"/>
    <w:rsid w:val="00803FAE"/>
    <w:rsid w:val="0080605F"/>
    <w:rsid w:val="00807786"/>
    <w:rsid w:val="008105D3"/>
    <w:rsid w:val="00811D9E"/>
    <w:rsid w:val="00811FCB"/>
    <w:rsid w:val="008158D6"/>
    <w:rsid w:val="00817196"/>
    <w:rsid w:val="008235DB"/>
    <w:rsid w:val="00824AB4"/>
    <w:rsid w:val="00825C42"/>
    <w:rsid w:val="00825D25"/>
    <w:rsid w:val="00827D6F"/>
    <w:rsid w:val="008333D9"/>
    <w:rsid w:val="008376AC"/>
    <w:rsid w:val="008444E8"/>
    <w:rsid w:val="00844E80"/>
    <w:rsid w:val="00846FE7"/>
    <w:rsid w:val="0084727E"/>
    <w:rsid w:val="008524DE"/>
    <w:rsid w:val="00852A6E"/>
    <w:rsid w:val="00856911"/>
    <w:rsid w:val="008677FD"/>
    <w:rsid w:val="00867D9A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2A1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857"/>
    <w:rsid w:val="008B51A0"/>
    <w:rsid w:val="008B592A"/>
    <w:rsid w:val="008B7244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171"/>
    <w:rsid w:val="008E0433"/>
    <w:rsid w:val="008E065E"/>
    <w:rsid w:val="008E0927"/>
    <w:rsid w:val="008E11D0"/>
    <w:rsid w:val="008E1909"/>
    <w:rsid w:val="008F1EAB"/>
    <w:rsid w:val="008F33DC"/>
    <w:rsid w:val="008F3BEB"/>
    <w:rsid w:val="008F477F"/>
    <w:rsid w:val="00902350"/>
    <w:rsid w:val="0090336B"/>
    <w:rsid w:val="009053AA"/>
    <w:rsid w:val="009053CF"/>
    <w:rsid w:val="00906939"/>
    <w:rsid w:val="00910B7D"/>
    <w:rsid w:val="00911DFB"/>
    <w:rsid w:val="00912E88"/>
    <w:rsid w:val="00913248"/>
    <w:rsid w:val="009139D9"/>
    <w:rsid w:val="00914AD8"/>
    <w:rsid w:val="00916079"/>
    <w:rsid w:val="00917CE9"/>
    <w:rsid w:val="00920BF2"/>
    <w:rsid w:val="00922010"/>
    <w:rsid w:val="00931BD9"/>
    <w:rsid w:val="009347E8"/>
    <w:rsid w:val="009368F3"/>
    <w:rsid w:val="00941636"/>
    <w:rsid w:val="00943742"/>
    <w:rsid w:val="00945C05"/>
    <w:rsid w:val="00946945"/>
    <w:rsid w:val="00946B20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4BFF"/>
    <w:rsid w:val="009A5CBA"/>
    <w:rsid w:val="009B1F30"/>
    <w:rsid w:val="009B3AC2"/>
    <w:rsid w:val="009B4DF4"/>
    <w:rsid w:val="009B564E"/>
    <w:rsid w:val="009B7E87"/>
    <w:rsid w:val="009C0169"/>
    <w:rsid w:val="009C25F0"/>
    <w:rsid w:val="009C403E"/>
    <w:rsid w:val="009D4FF0"/>
    <w:rsid w:val="009D703C"/>
    <w:rsid w:val="009D718F"/>
    <w:rsid w:val="009E068F"/>
    <w:rsid w:val="009E14E0"/>
    <w:rsid w:val="009E321D"/>
    <w:rsid w:val="009E35DB"/>
    <w:rsid w:val="009E47A3"/>
    <w:rsid w:val="009E4BA7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4158"/>
    <w:rsid w:val="00A264A9"/>
    <w:rsid w:val="00A26DCF"/>
    <w:rsid w:val="00A27785"/>
    <w:rsid w:val="00A27D5B"/>
    <w:rsid w:val="00A30187"/>
    <w:rsid w:val="00A31AF3"/>
    <w:rsid w:val="00A33138"/>
    <w:rsid w:val="00A3448A"/>
    <w:rsid w:val="00A36297"/>
    <w:rsid w:val="00A41E2B"/>
    <w:rsid w:val="00A45B74"/>
    <w:rsid w:val="00A52E1D"/>
    <w:rsid w:val="00A5413C"/>
    <w:rsid w:val="00A61499"/>
    <w:rsid w:val="00A62A77"/>
    <w:rsid w:val="00A63483"/>
    <w:rsid w:val="00A657D7"/>
    <w:rsid w:val="00A660AC"/>
    <w:rsid w:val="00A67E6C"/>
    <w:rsid w:val="00A71B99"/>
    <w:rsid w:val="00A71D85"/>
    <w:rsid w:val="00A739D0"/>
    <w:rsid w:val="00A761D4"/>
    <w:rsid w:val="00A77EC4"/>
    <w:rsid w:val="00A82B70"/>
    <w:rsid w:val="00A92879"/>
    <w:rsid w:val="00A9442A"/>
    <w:rsid w:val="00AA016F"/>
    <w:rsid w:val="00AA1ED6"/>
    <w:rsid w:val="00AA244E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511F"/>
    <w:rsid w:val="00AE1EEE"/>
    <w:rsid w:val="00AE27AC"/>
    <w:rsid w:val="00AE40E0"/>
    <w:rsid w:val="00AE4DBA"/>
    <w:rsid w:val="00AE4F07"/>
    <w:rsid w:val="00AE7F25"/>
    <w:rsid w:val="00AF1C5D"/>
    <w:rsid w:val="00AF42D7"/>
    <w:rsid w:val="00B006FE"/>
    <w:rsid w:val="00B007CB"/>
    <w:rsid w:val="00B02AA9"/>
    <w:rsid w:val="00B02FA3"/>
    <w:rsid w:val="00B05084"/>
    <w:rsid w:val="00B157F9"/>
    <w:rsid w:val="00B16ACB"/>
    <w:rsid w:val="00B17C9F"/>
    <w:rsid w:val="00B20256"/>
    <w:rsid w:val="00B20BDC"/>
    <w:rsid w:val="00B20D09"/>
    <w:rsid w:val="00B2763F"/>
    <w:rsid w:val="00B27AAC"/>
    <w:rsid w:val="00B30929"/>
    <w:rsid w:val="00B36EC6"/>
    <w:rsid w:val="00B372AA"/>
    <w:rsid w:val="00B40445"/>
    <w:rsid w:val="00B409E0"/>
    <w:rsid w:val="00B41888"/>
    <w:rsid w:val="00B45A52"/>
    <w:rsid w:val="00B46175"/>
    <w:rsid w:val="00B548B7"/>
    <w:rsid w:val="00B573EF"/>
    <w:rsid w:val="00B664C7"/>
    <w:rsid w:val="00B739F6"/>
    <w:rsid w:val="00B77AEC"/>
    <w:rsid w:val="00B80030"/>
    <w:rsid w:val="00B81A6C"/>
    <w:rsid w:val="00B82B44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00D1"/>
    <w:rsid w:val="00BF3279"/>
    <w:rsid w:val="00BF4088"/>
    <w:rsid w:val="00BF74C7"/>
    <w:rsid w:val="00C015F1"/>
    <w:rsid w:val="00C01F33"/>
    <w:rsid w:val="00C02CC6"/>
    <w:rsid w:val="00C040F7"/>
    <w:rsid w:val="00C044AB"/>
    <w:rsid w:val="00C05706"/>
    <w:rsid w:val="00C05E93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182B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6819"/>
    <w:rsid w:val="00C97E02"/>
    <w:rsid w:val="00CA1ED8"/>
    <w:rsid w:val="00CA5005"/>
    <w:rsid w:val="00CB1F63"/>
    <w:rsid w:val="00CB50F1"/>
    <w:rsid w:val="00CB525D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908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0AE8"/>
    <w:rsid w:val="00D115C3"/>
    <w:rsid w:val="00D11897"/>
    <w:rsid w:val="00D13135"/>
    <w:rsid w:val="00D13E4E"/>
    <w:rsid w:val="00D239A7"/>
    <w:rsid w:val="00D23F47"/>
    <w:rsid w:val="00D32E71"/>
    <w:rsid w:val="00D36E71"/>
    <w:rsid w:val="00D37D87"/>
    <w:rsid w:val="00D40491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69C2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54FB"/>
    <w:rsid w:val="00DA305E"/>
    <w:rsid w:val="00DA5417"/>
    <w:rsid w:val="00DA56E8"/>
    <w:rsid w:val="00DA7C7F"/>
    <w:rsid w:val="00DB0A9F"/>
    <w:rsid w:val="00DB3575"/>
    <w:rsid w:val="00DB377D"/>
    <w:rsid w:val="00DB3C81"/>
    <w:rsid w:val="00DB7359"/>
    <w:rsid w:val="00DC2D36"/>
    <w:rsid w:val="00DC3A79"/>
    <w:rsid w:val="00DC53EF"/>
    <w:rsid w:val="00DE2BE1"/>
    <w:rsid w:val="00DE48F8"/>
    <w:rsid w:val="00DE5608"/>
    <w:rsid w:val="00DE58D0"/>
    <w:rsid w:val="00DE654F"/>
    <w:rsid w:val="00DF0B6E"/>
    <w:rsid w:val="00DF15E0"/>
    <w:rsid w:val="00DF37A0"/>
    <w:rsid w:val="00DF7539"/>
    <w:rsid w:val="00E01FD8"/>
    <w:rsid w:val="00E110E7"/>
    <w:rsid w:val="00E11A20"/>
    <w:rsid w:val="00E11B20"/>
    <w:rsid w:val="00E15DB1"/>
    <w:rsid w:val="00E17FA2"/>
    <w:rsid w:val="00E22330"/>
    <w:rsid w:val="00E30B5A"/>
    <w:rsid w:val="00E3123D"/>
    <w:rsid w:val="00E31461"/>
    <w:rsid w:val="00E31D43"/>
    <w:rsid w:val="00E32608"/>
    <w:rsid w:val="00E3318D"/>
    <w:rsid w:val="00E34188"/>
    <w:rsid w:val="00E34B6E"/>
    <w:rsid w:val="00E35559"/>
    <w:rsid w:val="00E36092"/>
    <w:rsid w:val="00E3723A"/>
    <w:rsid w:val="00E37860"/>
    <w:rsid w:val="00E446F1"/>
    <w:rsid w:val="00E46847"/>
    <w:rsid w:val="00E46886"/>
    <w:rsid w:val="00E47AEF"/>
    <w:rsid w:val="00E53B75"/>
    <w:rsid w:val="00E54E3B"/>
    <w:rsid w:val="00E57565"/>
    <w:rsid w:val="00E63838"/>
    <w:rsid w:val="00E64434"/>
    <w:rsid w:val="00E66C96"/>
    <w:rsid w:val="00E67C51"/>
    <w:rsid w:val="00E72EFC"/>
    <w:rsid w:val="00E758EC"/>
    <w:rsid w:val="00E80C29"/>
    <w:rsid w:val="00E8234C"/>
    <w:rsid w:val="00E83AA9"/>
    <w:rsid w:val="00E85928"/>
    <w:rsid w:val="00E85A00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039D"/>
    <w:rsid w:val="00EC24D5"/>
    <w:rsid w:val="00EC27C6"/>
    <w:rsid w:val="00EC4207"/>
    <w:rsid w:val="00EC5653"/>
    <w:rsid w:val="00EC71CE"/>
    <w:rsid w:val="00ED1006"/>
    <w:rsid w:val="00EE0110"/>
    <w:rsid w:val="00EF18FE"/>
    <w:rsid w:val="00EF35CD"/>
    <w:rsid w:val="00EF5787"/>
    <w:rsid w:val="00EF57AA"/>
    <w:rsid w:val="00EF60D0"/>
    <w:rsid w:val="00EF72F8"/>
    <w:rsid w:val="00F0528D"/>
    <w:rsid w:val="00F06C67"/>
    <w:rsid w:val="00F06DFD"/>
    <w:rsid w:val="00F071D1"/>
    <w:rsid w:val="00F07533"/>
    <w:rsid w:val="00F10629"/>
    <w:rsid w:val="00F10FFF"/>
    <w:rsid w:val="00F15FA5"/>
    <w:rsid w:val="00F209B7"/>
    <w:rsid w:val="00F2376F"/>
    <w:rsid w:val="00F243D8"/>
    <w:rsid w:val="00F24987"/>
    <w:rsid w:val="00F30828"/>
    <w:rsid w:val="00F313D6"/>
    <w:rsid w:val="00F3450C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256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E48"/>
    <w:rsid w:val="00F8456C"/>
    <w:rsid w:val="00F859D8"/>
    <w:rsid w:val="00F868F5"/>
    <w:rsid w:val="00F9056A"/>
    <w:rsid w:val="00F90F8D"/>
    <w:rsid w:val="00F911A2"/>
    <w:rsid w:val="00F92782"/>
    <w:rsid w:val="00F93AA9"/>
    <w:rsid w:val="00F95CAD"/>
    <w:rsid w:val="00F96985"/>
    <w:rsid w:val="00F97838"/>
    <w:rsid w:val="00FA28A3"/>
    <w:rsid w:val="00FA2BB3"/>
    <w:rsid w:val="00FB141E"/>
    <w:rsid w:val="00FB41DF"/>
    <w:rsid w:val="00FB4C80"/>
    <w:rsid w:val="00FB6A6A"/>
    <w:rsid w:val="00FB6BB9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3C50"/>
    <w:rsid w:val="00FE4C7B"/>
    <w:rsid w:val="00FE6B78"/>
    <w:rsid w:val="00FE7336"/>
    <w:rsid w:val="00FE787C"/>
    <w:rsid w:val="00FF45A5"/>
    <w:rsid w:val="00FF5C91"/>
    <w:rsid w:val="016039DE"/>
    <w:rsid w:val="01B64386"/>
    <w:rsid w:val="0224417D"/>
    <w:rsid w:val="02A52ED7"/>
    <w:rsid w:val="02D72F09"/>
    <w:rsid w:val="03765CC3"/>
    <w:rsid w:val="039D140A"/>
    <w:rsid w:val="0446751A"/>
    <w:rsid w:val="05805CB2"/>
    <w:rsid w:val="05B900FF"/>
    <w:rsid w:val="06410882"/>
    <w:rsid w:val="06521047"/>
    <w:rsid w:val="06C8523F"/>
    <w:rsid w:val="0710324E"/>
    <w:rsid w:val="07254760"/>
    <w:rsid w:val="07291A1E"/>
    <w:rsid w:val="091C5045"/>
    <w:rsid w:val="09F13A60"/>
    <w:rsid w:val="0A773FCD"/>
    <w:rsid w:val="0AE43856"/>
    <w:rsid w:val="0B567107"/>
    <w:rsid w:val="0C2C6375"/>
    <w:rsid w:val="0C2F169F"/>
    <w:rsid w:val="0C72436D"/>
    <w:rsid w:val="0D252CE2"/>
    <w:rsid w:val="0E5755EF"/>
    <w:rsid w:val="0F264304"/>
    <w:rsid w:val="0F630E95"/>
    <w:rsid w:val="0FB20EEA"/>
    <w:rsid w:val="10232045"/>
    <w:rsid w:val="10FD4981"/>
    <w:rsid w:val="11020DC2"/>
    <w:rsid w:val="130067E6"/>
    <w:rsid w:val="13DB71E2"/>
    <w:rsid w:val="13FF104A"/>
    <w:rsid w:val="14877011"/>
    <w:rsid w:val="1496060B"/>
    <w:rsid w:val="15457633"/>
    <w:rsid w:val="16F615B2"/>
    <w:rsid w:val="17B85A0F"/>
    <w:rsid w:val="187C3859"/>
    <w:rsid w:val="19155782"/>
    <w:rsid w:val="19285F97"/>
    <w:rsid w:val="1A0E16FD"/>
    <w:rsid w:val="1A280F43"/>
    <w:rsid w:val="1A2B2836"/>
    <w:rsid w:val="1A6F0017"/>
    <w:rsid w:val="1A704B92"/>
    <w:rsid w:val="1B2F1ADC"/>
    <w:rsid w:val="1B8E77B0"/>
    <w:rsid w:val="1BBC2632"/>
    <w:rsid w:val="1C1A2DA5"/>
    <w:rsid w:val="1C8B1F79"/>
    <w:rsid w:val="1D5969B5"/>
    <w:rsid w:val="1DE564E9"/>
    <w:rsid w:val="1E5717CD"/>
    <w:rsid w:val="1EAB1F98"/>
    <w:rsid w:val="1EB67101"/>
    <w:rsid w:val="1F2C4B03"/>
    <w:rsid w:val="1F54205D"/>
    <w:rsid w:val="1F7A4417"/>
    <w:rsid w:val="1FAE12D2"/>
    <w:rsid w:val="1FB97697"/>
    <w:rsid w:val="205511A9"/>
    <w:rsid w:val="20DB469E"/>
    <w:rsid w:val="238A39B4"/>
    <w:rsid w:val="246C116C"/>
    <w:rsid w:val="24BA4504"/>
    <w:rsid w:val="24EC0E83"/>
    <w:rsid w:val="25020A5C"/>
    <w:rsid w:val="253C0408"/>
    <w:rsid w:val="273545AF"/>
    <w:rsid w:val="278507F1"/>
    <w:rsid w:val="284A0705"/>
    <w:rsid w:val="2A4069B8"/>
    <w:rsid w:val="2A8C3507"/>
    <w:rsid w:val="2AEE3D5C"/>
    <w:rsid w:val="2B5414DA"/>
    <w:rsid w:val="2CDE4364"/>
    <w:rsid w:val="2CEE5E6A"/>
    <w:rsid w:val="2EDB5185"/>
    <w:rsid w:val="2F3E78F0"/>
    <w:rsid w:val="2FD36764"/>
    <w:rsid w:val="30052E51"/>
    <w:rsid w:val="30710F4B"/>
    <w:rsid w:val="32D11218"/>
    <w:rsid w:val="33421C6D"/>
    <w:rsid w:val="3627368A"/>
    <w:rsid w:val="36651517"/>
    <w:rsid w:val="36A347CF"/>
    <w:rsid w:val="36B06936"/>
    <w:rsid w:val="36B70B15"/>
    <w:rsid w:val="37576F72"/>
    <w:rsid w:val="37B16F8F"/>
    <w:rsid w:val="39821EDE"/>
    <w:rsid w:val="3AA06D2D"/>
    <w:rsid w:val="3ADE25B8"/>
    <w:rsid w:val="3AF72686"/>
    <w:rsid w:val="3B106079"/>
    <w:rsid w:val="3B3939E1"/>
    <w:rsid w:val="3B8526C6"/>
    <w:rsid w:val="3BB206DE"/>
    <w:rsid w:val="3D9153D2"/>
    <w:rsid w:val="3DA108EC"/>
    <w:rsid w:val="3E1A71B2"/>
    <w:rsid w:val="3F1028F2"/>
    <w:rsid w:val="3F593D0D"/>
    <w:rsid w:val="3FAC1C58"/>
    <w:rsid w:val="40E00728"/>
    <w:rsid w:val="420E7F14"/>
    <w:rsid w:val="44846C95"/>
    <w:rsid w:val="46434E14"/>
    <w:rsid w:val="46875A50"/>
    <w:rsid w:val="488E3BD5"/>
    <w:rsid w:val="498B5230"/>
    <w:rsid w:val="49E14B12"/>
    <w:rsid w:val="4ACF0433"/>
    <w:rsid w:val="4B8155A8"/>
    <w:rsid w:val="4BBF20ED"/>
    <w:rsid w:val="4BE5793B"/>
    <w:rsid w:val="4CFB5543"/>
    <w:rsid w:val="4D356299"/>
    <w:rsid w:val="4D4901C7"/>
    <w:rsid w:val="4D735244"/>
    <w:rsid w:val="4E1E5A83"/>
    <w:rsid w:val="4E9D03BD"/>
    <w:rsid w:val="4EEB2FC6"/>
    <w:rsid w:val="4FE71DC8"/>
    <w:rsid w:val="50C249D4"/>
    <w:rsid w:val="50EB3DE3"/>
    <w:rsid w:val="51230F67"/>
    <w:rsid w:val="518250B4"/>
    <w:rsid w:val="518A63D7"/>
    <w:rsid w:val="54832376"/>
    <w:rsid w:val="54B348D1"/>
    <w:rsid w:val="554C36D8"/>
    <w:rsid w:val="560D710F"/>
    <w:rsid w:val="5690422E"/>
    <w:rsid w:val="571C349E"/>
    <w:rsid w:val="57E673EA"/>
    <w:rsid w:val="582B4438"/>
    <w:rsid w:val="58A81362"/>
    <w:rsid w:val="5914092D"/>
    <w:rsid w:val="5A951096"/>
    <w:rsid w:val="5B060541"/>
    <w:rsid w:val="5B0647B3"/>
    <w:rsid w:val="5C430D5F"/>
    <w:rsid w:val="5C4B5953"/>
    <w:rsid w:val="5D0E440D"/>
    <w:rsid w:val="5D7C53BD"/>
    <w:rsid w:val="5DC91FC8"/>
    <w:rsid w:val="5F647BB3"/>
    <w:rsid w:val="5F9373EB"/>
    <w:rsid w:val="5FC01D5A"/>
    <w:rsid w:val="5FE71F8A"/>
    <w:rsid w:val="5FFB1450"/>
    <w:rsid w:val="60CF4FF9"/>
    <w:rsid w:val="61C63352"/>
    <w:rsid w:val="622D77C1"/>
    <w:rsid w:val="62BF7610"/>
    <w:rsid w:val="6362360F"/>
    <w:rsid w:val="63DA3C4C"/>
    <w:rsid w:val="6632249C"/>
    <w:rsid w:val="667767A2"/>
    <w:rsid w:val="68734297"/>
    <w:rsid w:val="68B615DC"/>
    <w:rsid w:val="6948241B"/>
    <w:rsid w:val="69AA36B9"/>
    <w:rsid w:val="69FA1431"/>
    <w:rsid w:val="6A391B2D"/>
    <w:rsid w:val="6A565F01"/>
    <w:rsid w:val="6AAA5FC1"/>
    <w:rsid w:val="6B86399C"/>
    <w:rsid w:val="6C14412F"/>
    <w:rsid w:val="6C3B6A9F"/>
    <w:rsid w:val="6C56395B"/>
    <w:rsid w:val="6C5D722F"/>
    <w:rsid w:val="6C8C7DB8"/>
    <w:rsid w:val="6CCC37E5"/>
    <w:rsid w:val="6D9810DC"/>
    <w:rsid w:val="6E08437D"/>
    <w:rsid w:val="6EC82899"/>
    <w:rsid w:val="6FAA59EB"/>
    <w:rsid w:val="70F150BC"/>
    <w:rsid w:val="715676F4"/>
    <w:rsid w:val="715757D9"/>
    <w:rsid w:val="71A43B8D"/>
    <w:rsid w:val="71C37CFD"/>
    <w:rsid w:val="72544FC7"/>
    <w:rsid w:val="72E62090"/>
    <w:rsid w:val="73016ED7"/>
    <w:rsid w:val="730641D1"/>
    <w:rsid w:val="73265EB6"/>
    <w:rsid w:val="733C4B0C"/>
    <w:rsid w:val="734C3EED"/>
    <w:rsid w:val="73A75B25"/>
    <w:rsid w:val="73C5742E"/>
    <w:rsid w:val="748B558E"/>
    <w:rsid w:val="749276C3"/>
    <w:rsid w:val="749331DC"/>
    <w:rsid w:val="74AD1C88"/>
    <w:rsid w:val="75610687"/>
    <w:rsid w:val="75612CB1"/>
    <w:rsid w:val="75EB0E5C"/>
    <w:rsid w:val="778C7878"/>
    <w:rsid w:val="782B0FDB"/>
    <w:rsid w:val="785C7D15"/>
    <w:rsid w:val="79113C99"/>
    <w:rsid w:val="79182F01"/>
    <w:rsid w:val="798A7F36"/>
    <w:rsid w:val="79AA74BC"/>
    <w:rsid w:val="79DD32E5"/>
    <w:rsid w:val="7A3648BD"/>
    <w:rsid w:val="7A737354"/>
    <w:rsid w:val="7AA13203"/>
    <w:rsid w:val="7AD8595E"/>
    <w:rsid w:val="7B9B6E1E"/>
    <w:rsid w:val="7CE3186F"/>
    <w:rsid w:val="7CE51F11"/>
    <w:rsid w:val="7D143871"/>
    <w:rsid w:val="7D176EAA"/>
    <w:rsid w:val="7DDE49DC"/>
    <w:rsid w:val="7DF321FB"/>
    <w:rsid w:val="7ECA6966"/>
    <w:rsid w:val="7F5219FD"/>
    <w:rsid w:val="7F9A404B"/>
    <w:rsid w:val="7FFC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6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567" w:hanging="567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23"/>
    <w:qFormat/>
    <w:uiPriority w:val="0"/>
    <w:pPr>
      <w:pBdr>
        <w:top w:val="none" w:color="auto" w:sz="0" w:space="0"/>
      </w:pBdr>
      <w:spacing w:before="180"/>
      <w:outlineLvl w:val="1"/>
    </w:pPr>
    <w:rPr>
      <w:sz w:val="28"/>
    </w:rPr>
  </w:style>
  <w:style w:type="paragraph" w:styleId="4">
    <w:name w:val="heading 3"/>
    <w:basedOn w:val="3"/>
    <w:next w:val="1"/>
    <w:link w:val="124"/>
    <w:qFormat/>
    <w:uiPriority w:val="0"/>
    <w:pPr>
      <w:spacing w:before="120"/>
      <w:outlineLvl w:val="2"/>
    </w:pPr>
  </w:style>
  <w:style w:type="paragraph" w:styleId="5">
    <w:name w:val="heading 4"/>
    <w:basedOn w:val="4"/>
    <w:next w:val="1"/>
    <w:link w:val="12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7"/>
    <w:qFormat/>
    <w:uiPriority w:val="0"/>
    <w:pPr>
      <w:outlineLvl w:val="5"/>
    </w:pPr>
  </w:style>
  <w:style w:type="paragraph" w:styleId="9">
    <w:name w:val="heading 7"/>
    <w:basedOn w:val="8"/>
    <w:next w:val="1"/>
    <w:link w:val="128"/>
    <w:qFormat/>
    <w:uiPriority w:val="0"/>
    <w:pPr>
      <w:outlineLvl w:val="6"/>
    </w:pPr>
  </w:style>
  <w:style w:type="paragraph" w:styleId="10">
    <w:name w:val="heading 8"/>
    <w:basedOn w:val="2"/>
    <w:next w:val="1"/>
    <w:link w:val="12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0"/>
    <w:qFormat/>
    <w:uiPriority w:val="0"/>
    <w:pPr>
      <w:outlineLvl w:val="8"/>
    </w:pPr>
  </w:style>
  <w:style w:type="character" w:default="1" w:styleId="50">
    <w:name w:val="Default Paragraph Font"/>
    <w:unhideWhenUsed/>
    <w:uiPriority w:val="1"/>
  </w:style>
  <w:style w:type="table" w:default="1" w:styleId="5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  <w:rPr>
      <w:lang w:eastAsia="ja-JP"/>
    </w:rPr>
  </w:style>
  <w:style w:type="paragraph" w:styleId="14">
    <w:name w:val="List"/>
    <w:basedOn w:val="15"/>
    <w:qFormat/>
    <w:uiPriority w:val="0"/>
    <w:pPr>
      <w:ind w:left="568" w:hanging="284"/>
    </w:pPr>
  </w:style>
  <w:style w:type="paragraph" w:styleId="15">
    <w:name w:val="Body Text"/>
    <w:basedOn w:val="1"/>
    <w:link w:val="73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16">
    <w:name w:val="annotation subject"/>
    <w:basedOn w:val="17"/>
    <w:next w:val="17"/>
    <w:link w:val="109"/>
    <w:qFormat/>
    <w:uiPriority w:val="0"/>
    <w:rPr>
      <w:b/>
      <w:bCs/>
    </w:rPr>
  </w:style>
  <w:style w:type="paragraph" w:styleId="17">
    <w:name w:val="annotation text"/>
    <w:basedOn w:val="1"/>
    <w:link w:val="108"/>
    <w:qFormat/>
    <w:uiPriority w:val="99"/>
  </w:style>
  <w:style w:type="paragraph" w:styleId="18">
    <w:name w:val="toc 7"/>
    <w:basedOn w:val="19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5">
    <w:name w:val="List Number 2"/>
    <w:basedOn w:val="26"/>
    <w:qFormat/>
    <w:uiPriority w:val="0"/>
    <w:pPr>
      <w:numPr>
        <w:ilvl w:val="0"/>
        <w:numId w:val="1"/>
      </w:numPr>
    </w:pPr>
  </w:style>
  <w:style w:type="paragraph" w:styleId="26">
    <w:name w:val="List Number"/>
    <w:basedOn w:val="14"/>
    <w:qFormat/>
    <w:uiPriority w:val="0"/>
    <w:pPr>
      <w:numPr>
        <w:ilvl w:val="0"/>
        <w:numId w:val="2"/>
      </w:numPr>
    </w:pPr>
    <w:rPr>
      <w:lang w:eastAsia="ja-JP"/>
    </w:rPr>
  </w:style>
  <w:style w:type="paragraph" w:styleId="27">
    <w:name w:val="List Bullet 4"/>
    <w:basedOn w:val="28"/>
    <w:qFormat/>
    <w:uiPriority w:val="0"/>
    <w:pPr>
      <w:numPr>
        <w:numId w:val="3"/>
      </w:numPr>
    </w:pPr>
  </w:style>
  <w:style w:type="paragraph" w:styleId="28">
    <w:name w:val="List Bullet 3"/>
    <w:basedOn w:val="29"/>
    <w:qFormat/>
    <w:uiPriority w:val="0"/>
    <w:pPr>
      <w:numPr>
        <w:numId w:val="4"/>
      </w:numPr>
    </w:pPr>
  </w:style>
  <w:style w:type="paragraph" w:styleId="29">
    <w:name w:val="List Bullet 2"/>
    <w:basedOn w:val="30"/>
    <w:qFormat/>
    <w:uiPriority w:val="0"/>
    <w:pPr>
      <w:numPr>
        <w:ilvl w:val="0"/>
        <w:numId w:val="5"/>
      </w:numPr>
    </w:pPr>
  </w:style>
  <w:style w:type="paragraph" w:styleId="30">
    <w:name w:val="List Bullet"/>
    <w:basedOn w:val="14"/>
    <w:qFormat/>
    <w:uiPriority w:val="0"/>
    <w:pPr>
      <w:numPr>
        <w:ilvl w:val="0"/>
        <w:numId w:val="6"/>
      </w:numPr>
    </w:pPr>
    <w:rPr>
      <w:lang w:eastAsia="ja-JP"/>
    </w:rPr>
  </w:style>
  <w:style w:type="paragraph" w:styleId="31">
    <w:name w:val="caption"/>
    <w:basedOn w:val="1"/>
    <w:next w:val="1"/>
    <w:qFormat/>
    <w:uiPriority w:val="0"/>
    <w:pPr>
      <w:spacing w:before="120" w:after="120"/>
    </w:pPr>
    <w:rPr>
      <w:b/>
      <w:lang w:eastAsia="en-GB"/>
    </w:rPr>
  </w:style>
  <w:style w:type="paragraph" w:styleId="32">
    <w:name w:val="Document Map"/>
    <w:basedOn w:val="1"/>
    <w:link w:val="11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3">
    <w:name w:val="List Number 3"/>
    <w:basedOn w:val="25"/>
    <w:qFormat/>
    <w:uiPriority w:val="0"/>
    <w:pPr>
      <w:numPr>
        <w:numId w:val="7"/>
      </w:numPr>
      <w:contextualSpacing/>
    </w:pPr>
  </w:style>
  <w:style w:type="paragraph" w:styleId="34">
    <w:name w:val="List Continue"/>
    <w:basedOn w:val="1"/>
    <w:qFormat/>
    <w:uiPriority w:val="0"/>
    <w:pPr>
      <w:spacing w:after="120"/>
      <w:ind w:left="283"/>
      <w:contextualSpacing/>
    </w:pPr>
    <w:rPr>
      <w:rFonts w:ascii="Arial" w:hAnsi="Arial"/>
    </w:rPr>
  </w:style>
  <w:style w:type="paragraph" w:styleId="35">
    <w:name w:val="Plain Text"/>
    <w:basedOn w:val="1"/>
    <w:link w:val="138"/>
    <w:qFormat/>
    <w:uiPriority w:val="0"/>
    <w:rPr>
      <w:rFonts w:ascii="Courier New" w:hAnsi="Courier New"/>
      <w:lang w:val="nb-NO"/>
    </w:rPr>
  </w:style>
  <w:style w:type="paragraph" w:styleId="36">
    <w:name w:val="List Bullet 5"/>
    <w:basedOn w:val="27"/>
    <w:qFormat/>
    <w:uiPriority w:val="0"/>
    <w:pPr>
      <w:numPr>
        <w:numId w:val="8"/>
      </w:numPr>
    </w:pPr>
  </w:style>
  <w:style w:type="paragraph" w:styleId="37">
    <w:name w:val="toc 8"/>
    <w:basedOn w:val="24"/>
    <w:next w:val="1"/>
    <w:qFormat/>
    <w:uiPriority w:val="39"/>
    <w:pPr>
      <w:spacing w:before="180"/>
      <w:ind w:left="2693" w:hanging="2693"/>
    </w:pPr>
    <w:rPr>
      <w:b/>
    </w:rPr>
  </w:style>
  <w:style w:type="paragraph" w:styleId="38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9">
    <w:name w:val="footer"/>
    <w:basedOn w:val="40"/>
    <w:link w:val="120"/>
    <w:qFormat/>
    <w:uiPriority w:val="0"/>
    <w:pPr>
      <w:jc w:val="center"/>
    </w:pPr>
    <w:rPr>
      <w:i/>
    </w:rPr>
  </w:style>
  <w:style w:type="paragraph" w:styleId="40">
    <w:name w:val="header"/>
    <w:link w:val="11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  <w:lang w:eastAsia="en-GB"/>
    </w:rPr>
  </w:style>
  <w:style w:type="paragraph" w:styleId="42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able of figures"/>
    <w:basedOn w:val="15"/>
    <w:next w:val="1"/>
    <w:qFormat/>
    <w:uiPriority w:val="99"/>
    <w:pPr>
      <w:ind w:left="1701" w:hanging="1701"/>
      <w:jc w:val="left"/>
    </w:pPr>
    <w:rPr>
      <w:b/>
    </w:rPr>
  </w:style>
  <w:style w:type="paragraph" w:styleId="46">
    <w:name w:val="toc 9"/>
    <w:basedOn w:val="37"/>
    <w:next w:val="1"/>
    <w:qFormat/>
    <w:uiPriority w:val="39"/>
    <w:pPr>
      <w:ind w:left="1418" w:hanging="1418"/>
    </w:pPr>
  </w:style>
  <w:style w:type="paragraph" w:styleId="47">
    <w:name w:val="List Continue 2"/>
    <w:basedOn w:val="1"/>
    <w:qFormat/>
    <w:uiPriority w:val="0"/>
    <w:pPr>
      <w:spacing w:after="120"/>
      <w:ind w:left="566"/>
      <w:contextualSpacing/>
    </w:pPr>
    <w:rPr>
      <w:rFonts w:ascii="Arial" w:hAnsi="Arial"/>
    </w:rPr>
  </w:style>
  <w:style w:type="paragraph" w:styleId="48">
    <w:name w:val="index 1"/>
    <w:basedOn w:val="1"/>
    <w:next w:val="1"/>
    <w:qFormat/>
    <w:uiPriority w:val="0"/>
    <w:pPr>
      <w:keepLines/>
      <w:spacing w:after="0"/>
    </w:pPr>
  </w:style>
  <w:style w:type="paragraph" w:styleId="49">
    <w:name w:val="index 2"/>
    <w:basedOn w:val="48"/>
    <w:next w:val="1"/>
    <w:qFormat/>
    <w:uiPriority w:val="0"/>
    <w:pPr>
      <w:ind w:left="284"/>
    </w:pPr>
  </w:style>
  <w:style w:type="character" w:styleId="51">
    <w:name w:val="Strong"/>
    <w:qFormat/>
    <w:uiPriority w:val="22"/>
    <w:rPr>
      <w:b/>
      <w:bCs/>
    </w:rPr>
  </w:style>
  <w:style w:type="character" w:styleId="52">
    <w:name w:val="page number"/>
    <w:basedOn w:val="50"/>
    <w:qFormat/>
    <w:uiPriority w:val="0"/>
  </w:style>
  <w:style w:type="character" w:styleId="53">
    <w:name w:val="FollowedHyperlink"/>
    <w:unhideWhenUsed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7">
    <w:name w:val="annotation reference"/>
    <w:qFormat/>
    <w:uiPriority w:val="99"/>
    <w:rPr>
      <w:sz w:val="16"/>
      <w:szCs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table" w:styleId="60">
    <w:name w:val="Table Grid"/>
    <w:basedOn w:val="59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1">
    <w:name w:val="Figure"/>
    <w:basedOn w:val="1"/>
    <w:next w:val="31"/>
    <w:qFormat/>
    <w:uiPriority w:val="0"/>
    <w:pPr>
      <w:keepNext/>
      <w:keepLines/>
      <w:spacing w:before="180"/>
      <w:jc w:val="center"/>
    </w:pPr>
  </w:style>
  <w:style w:type="paragraph" w:customStyle="1" w:styleId="62">
    <w:name w:val="3GPP_Header"/>
    <w:basedOn w:val="15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Editor's Note"/>
    <w:basedOn w:val="65"/>
    <w:link w:val="116"/>
    <w:qFormat/>
    <w:uiPriority w:val="0"/>
    <w:rPr>
      <w:color w:val="FF0000"/>
      <w:lang w:val="zh-CN" w:eastAsia="zh-CN"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Reference"/>
    <w:basedOn w:val="15"/>
    <w:qFormat/>
    <w:uiPriority w:val="0"/>
    <w:pPr>
      <w:numPr>
        <w:ilvl w:val="0"/>
        <w:numId w:val="9"/>
      </w:numPr>
    </w:pPr>
  </w:style>
  <w:style w:type="character" w:customStyle="1" w:styleId="67">
    <w:name w:val="标题 1 Char"/>
    <w:link w:val="2"/>
    <w:qFormat/>
    <w:uiPriority w:val="0"/>
    <w:rPr>
      <w:rFonts w:ascii="Arial" w:hAnsi="Arial" w:eastAsia="Times New Roman"/>
      <w:sz w:val="36"/>
      <w:lang w:eastAsia="ja-JP"/>
    </w:rPr>
  </w:style>
  <w:style w:type="paragraph" w:customStyle="1" w:styleId="68">
    <w:name w:val="B1"/>
    <w:basedOn w:val="14"/>
    <w:link w:val="97"/>
    <w:qFormat/>
    <w:uiPriority w:val="0"/>
    <w:rPr>
      <w:rFonts w:ascii="Times New Roman" w:hAnsi="Times New Roman"/>
    </w:rPr>
  </w:style>
  <w:style w:type="paragraph" w:customStyle="1" w:styleId="69">
    <w:name w:val="B2"/>
    <w:basedOn w:val="13"/>
    <w:link w:val="98"/>
    <w:qFormat/>
    <w:uiPriority w:val="0"/>
    <w:rPr>
      <w:rFonts w:ascii="Times New Roman" w:hAnsi="Times New Roman"/>
    </w:rPr>
  </w:style>
  <w:style w:type="paragraph" w:customStyle="1" w:styleId="70">
    <w:name w:val="B3"/>
    <w:basedOn w:val="12"/>
    <w:link w:val="99"/>
    <w:qFormat/>
    <w:uiPriority w:val="0"/>
    <w:rPr>
      <w:rFonts w:ascii="Times New Roman" w:hAnsi="Times New Roman"/>
    </w:rPr>
  </w:style>
  <w:style w:type="paragraph" w:customStyle="1" w:styleId="71">
    <w:name w:val="B4"/>
    <w:basedOn w:val="44"/>
    <w:link w:val="100"/>
    <w:qFormat/>
    <w:uiPriority w:val="0"/>
    <w:rPr>
      <w:rFonts w:ascii="Times New Roman" w:hAnsi="Times New Roman"/>
    </w:rPr>
  </w:style>
  <w:style w:type="paragraph" w:customStyle="1" w:styleId="72">
    <w:name w:val="Proposal"/>
    <w:basedOn w:val="15"/>
    <w:qFormat/>
    <w:uiPriority w:val="0"/>
    <w:pPr>
      <w:numPr>
        <w:ilvl w:val="0"/>
        <w:numId w:val="10"/>
      </w:numPr>
      <w:tabs>
        <w:tab w:val="left" w:pos="1701"/>
        <w:tab w:val="clear" w:pos="1304"/>
      </w:tabs>
      <w:ind w:left="1701" w:hanging="1701"/>
    </w:pPr>
    <w:rPr>
      <w:b/>
      <w:bCs/>
    </w:rPr>
  </w:style>
  <w:style w:type="character" w:customStyle="1" w:styleId="73">
    <w:name w:val="正文文本 Char"/>
    <w:link w:val="15"/>
    <w:qFormat/>
    <w:uiPriority w:val="0"/>
    <w:rPr>
      <w:rFonts w:ascii="Arial" w:hAnsi="Arial"/>
      <w:lang w:eastAsia="zh-CN"/>
    </w:rPr>
  </w:style>
  <w:style w:type="paragraph" w:customStyle="1" w:styleId="74">
    <w:name w:val="B5"/>
    <w:basedOn w:val="43"/>
    <w:link w:val="101"/>
    <w:qFormat/>
    <w:uiPriority w:val="0"/>
    <w:rPr>
      <w:rFonts w:ascii="Times New Roman" w:hAnsi="Times New Roman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EW"/>
    <w:basedOn w:val="75"/>
    <w:qFormat/>
    <w:uiPriority w:val="0"/>
    <w:pPr>
      <w:spacing w:after="0"/>
    </w:pPr>
  </w:style>
  <w:style w:type="paragraph" w:customStyle="1" w:styleId="77">
    <w:name w:val="TAL"/>
    <w:basedOn w:val="1"/>
    <w:link w:val="139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78">
    <w:name w:val="TAC"/>
    <w:basedOn w:val="77"/>
    <w:qFormat/>
    <w:uiPriority w:val="0"/>
    <w:pPr>
      <w:jc w:val="center"/>
    </w:pPr>
  </w:style>
  <w:style w:type="paragraph" w:customStyle="1" w:styleId="79">
    <w:name w:val="TAH"/>
    <w:basedOn w:val="78"/>
    <w:link w:val="140"/>
    <w:qFormat/>
    <w:uiPriority w:val="0"/>
    <w:rPr>
      <w:b/>
    </w:rPr>
  </w:style>
  <w:style w:type="paragraph" w:customStyle="1" w:styleId="80">
    <w:name w:val="TAN"/>
    <w:basedOn w:val="77"/>
    <w:qFormat/>
    <w:uiPriority w:val="0"/>
    <w:pPr>
      <w:ind w:left="851" w:hanging="851"/>
    </w:pPr>
  </w:style>
  <w:style w:type="paragraph" w:customStyle="1" w:styleId="81">
    <w:name w:val="TAR"/>
    <w:basedOn w:val="77"/>
    <w:qFormat/>
    <w:uiPriority w:val="0"/>
    <w:pPr>
      <w:jc w:val="right"/>
    </w:pPr>
  </w:style>
  <w:style w:type="paragraph" w:customStyle="1" w:styleId="82">
    <w:name w:val="TH"/>
    <w:basedOn w:val="1"/>
    <w:link w:val="14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83">
    <w:name w:val="TF"/>
    <w:basedOn w:val="82"/>
    <w:link w:val="145"/>
    <w:qFormat/>
    <w:uiPriority w:val="0"/>
    <w:pPr>
      <w:keepNext w:val="0"/>
      <w:spacing w:before="0" w:after="240"/>
    </w:p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character" w:customStyle="1" w:styleId="89">
    <w:name w:val="ZGSM"/>
    <w:qFormat/>
    <w:uiPriority w:val="0"/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paragraph" w:customStyle="1" w:styleId="95">
    <w:name w:val="FP"/>
    <w:basedOn w:val="1"/>
    <w:qFormat/>
    <w:uiPriority w:val="0"/>
    <w:pPr>
      <w:spacing w:after="0"/>
    </w:pPr>
  </w:style>
  <w:style w:type="paragraph" w:customStyle="1" w:styleId="96">
    <w:name w:val="Observation"/>
    <w:basedOn w:val="72"/>
    <w:qFormat/>
    <w:uiPriority w:val="0"/>
    <w:pPr>
      <w:numPr>
        <w:ilvl w:val="0"/>
        <w:numId w:val="11"/>
      </w:numPr>
      <w:ind w:left="1701" w:hanging="1701"/>
    </w:pPr>
    <w:rPr>
      <w:lang w:eastAsia="ja-JP"/>
    </w:rPr>
  </w:style>
  <w:style w:type="character" w:customStyle="1" w:styleId="97">
    <w:name w:val="B1 Char1"/>
    <w:link w:val="68"/>
    <w:qFormat/>
    <w:uiPriority w:val="0"/>
    <w:rPr>
      <w:rFonts w:ascii="Times New Roman" w:hAnsi="Times New Roman"/>
      <w:lang w:eastAsia="zh-CN"/>
    </w:rPr>
  </w:style>
  <w:style w:type="character" w:customStyle="1" w:styleId="98">
    <w:name w:val="B2 Char"/>
    <w:link w:val="69"/>
    <w:qFormat/>
    <w:uiPriority w:val="0"/>
    <w:rPr>
      <w:rFonts w:ascii="Times New Roman" w:hAnsi="Times New Roman"/>
      <w:lang w:eastAsia="ja-JP"/>
    </w:rPr>
  </w:style>
  <w:style w:type="character" w:customStyle="1" w:styleId="99">
    <w:name w:val="B3 Char2"/>
    <w:link w:val="70"/>
    <w:qFormat/>
    <w:uiPriority w:val="0"/>
    <w:rPr>
      <w:rFonts w:ascii="Times New Roman" w:hAnsi="Times New Roman"/>
      <w:lang w:eastAsia="ja-JP"/>
    </w:rPr>
  </w:style>
  <w:style w:type="character" w:customStyle="1" w:styleId="100">
    <w:name w:val="B4 Char"/>
    <w:link w:val="71"/>
    <w:qFormat/>
    <w:uiPriority w:val="0"/>
    <w:rPr>
      <w:rFonts w:ascii="Times New Roman" w:hAnsi="Times New Roman"/>
      <w:lang w:eastAsia="ja-JP"/>
    </w:rPr>
  </w:style>
  <w:style w:type="character" w:customStyle="1" w:styleId="101">
    <w:name w:val="B5 Char"/>
    <w:link w:val="74"/>
    <w:qFormat/>
    <w:uiPriority w:val="0"/>
    <w:rPr>
      <w:rFonts w:ascii="Times New Roman" w:hAnsi="Times New Roman"/>
      <w:lang w:eastAsia="ja-JP"/>
    </w:rPr>
  </w:style>
  <w:style w:type="paragraph" w:customStyle="1" w:styleId="102">
    <w:name w:val="B6"/>
    <w:basedOn w:val="74"/>
    <w:link w:val="103"/>
    <w:qFormat/>
    <w:uiPriority w:val="0"/>
    <w:pPr>
      <w:ind w:left="1985"/>
    </w:pPr>
  </w:style>
  <w:style w:type="character" w:customStyle="1" w:styleId="103">
    <w:name w:val="B6 Char"/>
    <w:link w:val="102"/>
    <w:qFormat/>
    <w:uiPriority w:val="0"/>
    <w:rPr>
      <w:rFonts w:ascii="Times New Roman" w:hAnsi="Times New Roman"/>
      <w:lang w:eastAsia="ja-JP"/>
    </w:rPr>
  </w:style>
  <w:style w:type="paragraph" w:customStyle="1" w:styleId="104">
    <w:name w:val="B7"/>
    <w:basedOn w:val="102"/>
    <w:link w:val="105"/>
    <w:qFormat/>
    <w:uiPriority w:val="0"/>
    <w:pPr>
      <w:ind w:left="2269"/>
    </w:pPr>
  </w:style>
  <w:style w:type="character" w:customStyle="1" w:styleId="105">
    <w:name w:val="B7 Char"/>
    <w:basedOn w:val="103"/>
    <w:link w:val="104"/>
    <w:qFormat/>
    <w:uiPriority w:val="0"/>
    <w:rPr>
      <w:rFonts w:ascii="Times New Roman" w:hAnsi="Times New Roman"/>
      <w:lang w:eastAsia="ja-JP"/>
    </w:rPr>
  </w:style>
  <w:style w:type="paragraph" w:customStyle="1" w:styleId="106">
    <w:name w:val="B8"/>
    <w:basedOn w:val="104"/>
    <w:qFormat/>
    <w:uiPriority w:val="0"/>
    <w:pPr>
      <w:ind w:left="2552"/>
    </w:pPr>
  </w:style>
  <w:style w:type="character" w:customStyle="1" w:styleId="107">
    <w:name w:val="批注框文本 Char"/>
    <w:link w:val="38"/>
    <w:qFormat/>
    <w:uiPriority w:val="0"/>
    <w:rPr>
      <w:rFonts w:ascii="Segoe UI" w:hAnsi="Segoe UI" w:cs="Segoe UI"/>
      <w:sz w:val="18"/>
      <w:szCs w:val="18"/>
      <w:lang w:eastAsia="ja-JP"/>
    </w:rPr>
  </w:style>
  <w:style w:type="character" w:customStyle="1" w:styleId="108">
    <w:name w:val="批注文字 Char"/>
    <w:link w:val="17"/>
    <w:qFormat/>
    <w:uiPriority w:val="99"/>
    <w:rPr>
      <w:rFonts w:ascii="Times New Roman" w:hAnsi="Times New Roman"/>
      <w:lang w:eastAsia="ja-JP"/>
    </w:rPr>
  </w:style>
  <w:style w:type="character" w:customStyle="1" w:styleId="109">
    <w:name w:val="批注主题 Char"/>
    <w:link w:val="16"/>
    <w:qFormat/>
    <w:uiPriority w:val="0"/>
    <w:rPr>
      <w:rFonts w:ascii="Times New Roman" w:hAnsi="Times New Roman"/>
      <w:b/>
      <w:bCs/>
      <w:lang w:eastAsia="ja-JP"/>
    </w:rPr>
  </w:style>
  <w:style w:type="paragraph" w:customStyle="1" w:styleId="110">
    <w:name w:val="CR Cover Page"/>
    <w:link w:val="111"/>
    <w:qFormat/>
    <w:uiPriority w:val="0"/>
    <w:pPr>
      <w:spacing w:after="120"/>
    </w:pPr>
    <w:rPr>
      <w:rFonts w:ascii="Arial" w:hAnsi="Arial" w:eastAsia="Times New Roman" w:cs="Times New Roman"/>
      <w:lang w:val="en-GB" w:eastAsia="ko-KR" w:bidi="ar-SA"/>
    </w:rPr>
  </w:style>
  <w:style w:type="character" w:customStyle="1" w:styleId="111">
    <w:name w:val="CR Cover Page Zchn"/>
    <w:link w:val="110"/>
    <w:qFormat/>
    <w:uiPriority w:val="0"/>
    <w:rPr>
      <w:rFonts w:ascii="Arial" w:hAnsi="Arial"/>
      <w:lang w:eastAsia="ko-KR"/>
    </w:rPr>
  </w:style>
  <w:style w:type="paragraph" w:customStyle="1" w:styleId="112">
    <w:name w:val="Doc-text2"/>
    <w:basedOn w:val="1"/>
    <w:link w:val="11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zh-CN" w:eastAsia="zh-CN"/>
    </w:rPr>
  </w:style>
  <w:style w:type="character" w:customStyle="1" w:styleId="113">
    <w:name w:val="Doc-text2 Char"/>
    <w:link w:val="112"/>
    <w:qFormat/>
    <w:locked/>
    <w:uiPriority w:val="0"/>
    <w:rPr>
      <w:rFonts w:ascii="Arial" w:hAnsi="Arial" w:eastAsia="MS Mincho"/>
      <w:szCs w:val="24"/>
      <w:lang w:val="zh-CN" w:eastAsia="zh-CN"/>
    </w:rPr>
  </w:style>
  <w:style w:type="character" w:customStyle="1" w:styleId="114">
    <w:name w:val="文档结构图 Char"/>
    <w:link w:val="32"/>
    <w:qFormat/>
    <w:uiPriority w:val="0"/>
    <w:rPr>
      <w:rFonts w:ascii="Tahoma" w:hAnsi="Tahoma" w:cs="Tahoma"/>
      <w:shd w:val="clear" w:color="auto" w:fill="000080"/>
      <w:lang w:eastAsia="ja-JP"/>
    </w:rPr>
  </w:style>
  <w:style w:type="character" w:customStyle="1" w:styleId="115">
    <w:name w:val="NO Char"/>
    <w:link w:val="65"/>
    <w:qFormat/>
    <w:uiPriority w:val="0"/>
    <w:rPr>
      <w:rFonts w:ascii="Times New Roman" w:hAnsi="Times New Roman"/>
      <w:lang w:eastAsia="ja-JP"/>
    </w:rPr>
  </w:style>
  <w:style w:type="character" w:customStyle="1" w:styleId="116">
    <w:name w:val="Editor's Note Char"/>
    <w:link w:val="64"/>
    <w:qFormat/>
    <w:uiPriority w:val="0"/>
    <w:rPr>
      <w:rFonts w:ascii="Times New Roman" w:hAnsi="Times New Roman"/>
      <w:color w:val="FF0000"/>
      <w:lang w:val="zh-CN" w:eastAsia="zh-CN"/>
    </w:rPr>
  </w:style>
  <w:style w:type="paragraph" w:customStyle="1" w:styleId="117">
    <w:name w:val="EmailDiscussion"/>
    <w:basedOn w:val="1"/>
    <w:next w:val="1"/>
    <w:qFormat/>
    <w:uiPriority w:val="0"/>
    <w:pPr>
      <w:numPr>
        <w:ilvl w:val="0"/>
        <w:numId w:val="1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119">
    <w:name w:val="页眉 Char"/>
    <w:link w:val="40"/>
    <w:qFormat/>
    <w:uiPriority w:val="0"/>
    <w:rPr>
      <w:rFonts w:ascii="Arial" w:hAnsi="Arial"/>
      <w:b/>
      <w:sz w:val="18"/>
      <w:lang w:eastAsia="ja-JP"/>
    </w:rPr>
  </w:style>
  <w:style w:type="character" w:customStyle="1" w:styleId="120">
    <w:name w:val="页脚 Char"/>
    <w:link w:val="39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21">
    <w:name w:val="脚注文本 Char"/>
    <w:link w:val="42"/>
    <w:qFormat/>
    <w:uiPriority w:val="0"/>
    <w:rPr>
      <w:rFonts w:ascii="Times New Roman" w:hAnsi="Times New Roman"/>
      <w:sz w:val="16"/>
      <w:lang w:eastAsia="ja-JP"/>
    </w:rPr>
  </w:style>
  <w:style w:type="paragraph" w:customStyle="1" w:styleId="122">
    <w:name w:val="Guidance"/>
    <w:basedOn w:val="1"/>
    <w:qFormat/>
    <w:uiPriority w:val="0"/>
    <w:rPr>
      <w:i/>
      <w:color w:val="0000FF"/>
    </w:rPr>
  </w:style>
  <w:style w:type="character" w:customStyle="1" w:styleId="123">
    <w:name w:val="标题 2 Char"/>
    <w:link w:val="3"/>
    <w:qFormat/>
    <w:uiPriority w:val="0"/>
    <w:rPr>
      <w:rFonts w:ascii="Arial" w:hAnsi="Arial" w:eastAsia="Times New Roman"/>
      <w:sz w:val="28"/>
      <w:lang w:eastAsia="ja-JP"/>
    </w:rPr>
  </w:style>
  <w:style w:type="character" w:customStyle="1" w:styleId="124">
    <w:name w:val="标题 3 Char"/>
    <w:link w:val="4"/>
    <w:qFormat/>
    <w:uiPriority w:val="0"/>
    <w:rPr>
      <w:rFonts w:ascii="Arial" w:hAnsi="Arial"/>
      <w:sz w:val="28"/>
      <w:lang w:eastAsia="ja-JP"/>
    </w:rPr>
  </w:style>
  <w:style w:type="character" w:customStyle="1" w:styleId="125">
    <w:name w:val="标题 4 Char"/>
    <w:link w:val="5"/>
    <w:qFormat/>
    <w:uiPriority w:val="0"/>
    <w:rPr>
      <w:rFonts w:ascii="Arial" w:hAnsi="Arial"/>
      <w:sz w:val="24"/>
      <w:lang w:eastAsia="ja-JP"/>
    </w:rPr>
  </w:style>
  <w:style w:type="character" w:customStyle="1" w:styleId="126">
    <w:name w:val="标题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127">
    <w:name w:val="标题 6 Char"/>
    <w:link w:val="7"/>
    <w:qFormat/>
    <w:uiPriority w:val="0"/>
    <w:rPr>
      <w:rFonts w:ascii="Arial" w:hAnsi="Arial"/>
      <w:lang w:eastAsia="ja-JP"/>
    </w:rPr>
  </w:style>
  <w:style w:type="character" w:customStyle="1" w:styleId="128">
    <w:name w:val="标题 7 Char"/>
    <w:link w:val="9"/>
    <w:qFormat/>
    <w:uiPriority w:val="0"/>
    <w:rPr>
      <w:rFonts w:ascii="Arial" w:hAnsi="Arial"/>
      <w:lang w:eastAsia="ja-JP"/>
    </w:rPr>
  </w:style>
  <w:style w:type="character" w:customStyle="1" w:styleId="129">
    <w:name w:val="标题 8 Char"/>
    <w:link w:val="10"/>
    <w:qFormat/>
    <w:uiPriority w:val="0"/>
    <w:rPr>
      <w:rFonts w:ascii="Arial" w:hAnsi="Arial"/>
      <w:sz w:val="36"/>
      <w:lang w:eastAsia="ja-JP"/>
    </w:rPr>
  </w:style>
  <w:style w:type="character" w:customStyle="1" w:styleId="130">
    <w:name w:val="标题 9 Char"/>
    <w:link w:val="11"/>
    <w:qFormat/>
    <w:uiPriority w:val="0"/>
    <w:rPr>
      <w:rFonts w:ascii="Arial" w:hAnsi="Arial"/>
      <w:sz w:val="36"/>
      <w:lang w:eastAsia="ja-JP"/>
    </w:rPr>
  </w:style>
  <w:style w:type="paragraph" w:customStyle="1" w:styleId="13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32">
    <w:name w:val="列出段落1"/>
    <w:basedOn w:val="1"/>
    <w:link w:val="133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val="zh-CN" w:eastAsia="en-US"/>
    </w:rPr>
  </w:style>
  <w:style w:type="character" w:customStyle="1" w:styleId="133">
    <w:name w:val="List Paragraph Char"/>
    <w:link w:val="132"/>
    <w:qFormat/>
    <w:locked/>
    <w:uiPriority w:val="34"/>
    <w:rPr>
      <w:rFonts w:ascii="Calibri" w:hAnsi="Calibri" w:eastAsia="Calibri"/>
      <w:sz w:val="22"/>
      <w:szCs w:val="22"/>
      <w:lang w:val="zh-CN" w:eastAsia="en-US"/>
    </w:rPr>
  </w:style>
  <w:style w:type="paragraph" w:customStyle="1" w:styleId="134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5">
    <w:name w:val="NW"/>
    <w:basedOn w:val="65"/>
    <w:qFormat/>
    <w:uiPriority w:val="0"/>
    <w:pPr>
      <w:spacing w:after="0"/>
    </w:pPr>
  </w:style>
  <w:style w:type="paragraph" w:customStyle="1" w:styleId="136">
    <w:name w:val="PL"/>
    <w:link w:val="137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137">
    <w:name w:val="PL Char"/>
    <w:link w:val="136"/>
    <w:qFormat/>
    <w:uiPriority w:val="0"/>
    <w:rPr>
      <w:rFonts w:ascii="Courier New" w:hAnsi="Courier New" w:eastAsia="Batang"/>
      <w:sz w:val="16"/>
      <w:shd w:val="clear" w:color="auto" w:fill="E6E6E6"/>
      <w:lang w:eastAsia="sv-SE"/>
    </w:rPr>
  </w:style>
  <w:style w:type="character" w:customStyle="1" w:styleId="138">
    <w:name w:val="纯文本 Char"/>
    <w:link w:val="35"/>
    <w:qFormat/>
    <w:uiPriority w:val="0"/>
    <w:rPr>
      <w:rFonts w:ascii="Courier New" w:hAnsi="Courier New"/>
      <w:lang w:val="nb-NO" w:eastAsia="ja-JP"/>
    </w:rPr>
  </w:style>
  <w:style w:type="character" w:customStyle="1" w:styleId="139">
    <w:name w:val="TAL Car"/>
    <w:link w:val="77"/>
    <w:qFormat/>
    <w:uiPriority w:val="0"/>
    <w:rPr>
      <w:rFonts w:ascii="Arial" w:hAnsi="Arial"/>
      <w:sz w:val="18"/>
      <w:lang w:val="zh-CN" w:eastAsia="zh-CN"/>
    </w:rPr>
  </w:style>
  <w:style w:type="character" w:customStyle="1" w:styleId="140">
    <w:name w:val="TAH Car"/>
    <w:link w:val="79"/>
    <w:qFormat/>
    <w:locked/>
    <w:uiPriority w:val="0"/>
    <w:rPr>
      <w:rFonts w:ascii="Arial" w:hAnsi="Arial"/>
      <w:b/>
      <w:sz w:val="18"/>
      <w:lang w:val="zh-CN" w:eastAsia="zh-CN"/>
    </w:rPr>
  </w:style>
  <w:style w:type="character" w:customStyle="1" w:styleId="141">
    <w:name w:val="TH Char"/>
    <w:link w:val="82"/>
    <w:qFormat/>
    <w:uiPriority w:val="0"/>
    <w:rPr>
      <w:rFonts w:ascii="Arial" w:hAnsi="Arial"/>
      <w:b/>
      <w:lang w:val="zh-CN" w:eastAsia="zh-CN"/>
    </w:rPr>
  </w:style>
  <w:style w:type="paragraph" w:customStyle="1" w:styleId="142">
    <w:name w:val="TAJ"/>
    <w:basedOn w:val="82"/>
    <w:qFormat/>
    <w:uiPriority w:val="0"/>
  </w:style>
  <w:style w:type="paragraph" w:customStyle="1" w:styleId="143">
    <w:name w:val="TAL Char Char"/>
    <w:basedOn w:val="1"/>
    <w:link w:val="144"/>
    <w:qFormat/>
    <w:uiPriority w:val="0"/>
    <w:pPr>
      <w:keepNext/>
      <w:keepLines/>
      <w:spacing w:after="0"/>
    </w:pPr>
    <w:rPr>
      <w:rFonts w:ascii="Arial" w:hAnsi="Arial" w:eastAsia="Malgun Gothic"/>
      <w:sz w:val="18"/>
      <w:lang w:val="zh-CN" w:eastAsia="zh-CN"/>
    </w:rPr>
  </w:style>
  <w:style w:type="character" w:customStyle="1" w:styleId="144">
    <w:name w:val="TAL Char Char Char"/>
    <w:link w:val="143"/>
    <w:qFormat/>
    <w:uiPriority w:val="0"/>
    <w:rPr>
      <w:rFonts w:ascii="Arial" w:hAnsi="Arial" w:eastAsia="Malgun Gothic"/>
      <w:sz w:val="18"/>
      <w:lang w:val="zh-CN" w:eastAsia="zh-CN"/>
    </w:rPr>
  </w:style>
  <w:style w:type="character" w:customStyle="1" w:styleId="145">
    <w:name w:val="TF Char"/>
    <w:link w:val="83"/>
    <w:qFormat/>
    <w:uiPriority w:val="0"/>
    <w:rPr>
      <w:rFonts w:ascii="Arial" w:hAnsi="Arial"/>
      <w:b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2_Busan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022FC1-4209-4D4A-94C6-EE5E66DFD6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Company>Ericsson</Company>
  <Pages>4</Pages>
  <Words>1302</Words>
  <Characters>7428</Characters>
  <Lines>61</Lines>
  <Paragraphs>17</Paragraphs>
  <TotalTime>0</TotalTime>
  <ScaleCrop>false</ScaleCrop>
  <LinksUpToDate>false</LinksUpToDate>
  <CharactersWithSpaces>8713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2018-08-09T15:04:00Z</dcterms:created>
  <dc:creator>Ericsson</dc:creator>
  <cp:keywords>3GPP; Ericsson; TDoc</cp:keywords>
  <cp:lastModifiedBy>ZTE</cp:lastModifiedBy>
  <cp:lastPrinted>2008-01-31T07:09:00Z</cp:lastPrinted>
  <dcterms:modified xsi:type="dcterms:W3CDTF">2018-08-10T03:42:17Z</dcterms:modified>
  <dc:title>Ericsson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KSOProductBuildVer">
    <vt:lpwstr>2052-10.8.0.6308</vt:lpwstr>
  </property>
</Properties>
</file>